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8EA" w:rsidRDefault="000518EA">
      <w:pPr>
        <w:pStyle w:val="ConsPlusNormal"/>
        <w:rPr>
          <w:rFonts w:ascii="Tahoma" w:hAnsi="Tahoma" w:cs="Tahoma"/>
          <w:sz w:val="20"/>
          <w:szCs w:val="20"/>
        </w:rPr>
      </w:pPr>
      <w:bookmarkStart w:id="0" w:name="_GoBack"/>
      <w:bookmarkEnd w:id="0"/>
      <w:r>
        <w:rPr>
          <w:rFonts w:ascii="Tahoma" w:hAnsi="Tahoma" w:cs="Tahoma"/>
          <w:sz w:val="20"/>
          <w:szCs w:val="20"/>
        </w:rPr>
        <w:t xml:space="preserve">Документ предоставлен </w:t>
      </w:r>
      <w:hyperlink r:id="rId5" w:history="1">
        <w:r>
          <w:rPr>
            <w:rFonts w:ascii="Tahoma" w:hAnsi="Tahoma" w:cs="Tahoma"/>
            <w:color w:val="0000FF"/>
            <w:sz w:val="20"/>
            <w:szCs w:val="20"/>
          </w:rPr>
          <w:t>КонсультантПлюс</w:t>
        </w:r>
      </w:hyperlink>
      <w:r>
        <w:rPr>
          <w:rFonts w:ascii="Tahoma" w:hAnsi="Tahoma" w:cs="Tahoma"/>
          <w:sz w:val="20"/>
          <w:szCs w:val="20"/>
        </w:rPr>
        <w:br/>
      </w:r>
    </w:p>
    <w:p w:rsidR="000518EA" w:rsidRDefault="000518EA">
      <w:pPr>
        <w:pStyle w:val="ConsPlusNormal"/>
        <w:jc w:val="both"/>
        <w:outlineLvl w:val="0"/>
      </w:pPr>
    </w:p>
    <w:p w:rsidR="000518EA" w:rsidRDefault="000518EA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ПРАВИТЕЛЬСТВО РОССИЙСКОЙ ФЕДЕРАЦИИ</w:t>
      </w:r>
    </w:p>
    <w:p w:rsidR="000518EA" w:rsidRDefault="000518EA">
      <w:pPr>
        <w:pStyle w:val="ConsPlusNormal"/>
        <w:jc w:val="center"/>
        <w:rPr>
          <w:b/>
          <w:bCs/>
        </w:rPr>
      </w:pP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от 15 сентября 2020 г. N 1434</w:t>
      </w:r>
    </w:p>
    <w:p w:rsidR="000518EA" w:rsidRDefault="000518EA">
      <w:pPr>
        <w:pStyle w:val="ConsPlusNormal"/>
        <w:jc w:val="center"/>
        <w:rPr>
          <w:b/>
          <w:bCs/>
        </w:rPr>
      </w:pP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ПРАВИЛ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ПРОВЕДЕНИЯ ТЕХНИЧЕСКОГО ОСМОТРА ТРАНСПОРТНЫХ СРЕДСТВ,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А ТАКЖЕ О ВНЕСЕНИИ ИЗМЕНЕНИЙ В НЕКОТОРЫЕ АКТЫ ПРАВИТЕЛЬСТВА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РОССИЙСКОЙ ФЕДЕРАЦИИ</w:t>
      </w:r>
    </w:p>
    <w:p w:rsidR="000518EA" w:rsidRDefault="000518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26.10.2020 </w:t>
            </w:r>
            <w:hyperlink r:id="rId6" w:history="1">
              <w:r>
                <w:rPr>
                  <w:color w:val="0000FF"/>
                </w:rPr>
                <w:t>N 1742</w:t>
              </w:r>
            </w:hyperlink>
            <w:r>
              <w:rPr>
                <w:color w:val="392C69"/>
              </w:rPr>
              <w:t>,</w:t>
            </w:r>
          </w:p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30.01.2021 </w:t>
            </w:r>
            <w:hyperlink r:id="rId7" w:history="1">
              <w:r>
                <w:rPr>
                  <w:color w:val="0000FF"/>
                </w:rPr>
                <w:t>N 89</w:t>
              </w:r>
            </w:hyperlink>
            <w:r>
              <w:rPr>
                <w:color w:val="392C69"/>
              </w:rPr>
              <w:t xml:space="preserve">, от 30.06.2021 </w:t>
            </w:r>
            <w:hyperlink r:id="rId8" w:history="1">
              <w:r>
                <w:rPr>
                  <w:color w:val="0000FF"/>
                </w:rPr>
                <w:t>N 1101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>В соответствии с Федеральным законом "О техническом осмотре транспортных средств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1. Утвердить прилагаемые:</w:t>
      </w:r>
    </w:p>
    <w:p w:rsidR="000518EA" w:rsidRDefault="001723B9">
      <w:pPr>
        <w:pStyle w:val="ConsPlusNormal"/>
        <w:spacing w:before="160"/>
        <w:ind w:firstLine="540"/>
        <w:jc w:val="both"/>
      </w:pPr>
      <w:hyperlink w:anchor="Par36" w:history="1">
        <w:r w:rsidR="000518EA">
          <w:rPr>
            <w:color w:val="0000FF"/>
          </w:rPr>
          <w:t>Правила</w:t>
        </w:r>
      </w:hyperlink>
      <w:r w:rsidR="000518EA">
        <w:t xml:space="preserve"> проведения технического осмотра транспортных средств;</w:t>
      </w:r>
    </w:p>
    <w:p w:rsidR="000518EA" w:rsidRDefault="001723B9">
      <w:pPr>
        <w:pStyle w:val="ConsPlusNormal"/>
        <w:spacing w:before="160"/>
        <w:ind w:firstLine="540"/>
        <w:jc w:val="both"/>
      </w:pPr>
      <w:hyperlink w:anchor="Par1589" w:history="1">
        <w:r w:rsidR="000518EA">
          <w:rPr>
            <w:color w:val="0000FF"/>
          </w:rPr>
          <w:t>изменения</w:t>
        </w:r>
      </w:hyperlink>
      <w:r w:rsidR="000518EA">
        <w:t>, которые вносятся в акты Правительства Российской Федерации.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1" w:name="Par18"/>
      <w:bookmarkEnd w:id="1"/>
      <w:r>
        <w:t xml:space="preserve">2. </w:t>
      </w:r>
      <w:hyperlink w:anchor="Par36" w:history="1">
        <w:r>
          <w:rPr>
            <w:color w:val="0000FF"/>
          </w:rPr>
          <w:t>Правила</w:t>
        </w:r>
      </w:hyperlink>
      <w:r>
        <w:t xml:space="preserve"> проведения технического осмотра транспортных средств, утвержденные настоящим постановлением, вступают в силу со дня вступления в силу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"О внесении изменений в Федеральный закон "О техническом осмотре транспортных средств и о внесении изменений в отдельные законодательные акты Российской Федерации" и отдельные законодательные акты Российской Федерации" и действуют в течение 6 лет со дня вступления в силу этого Федерального </w:t>
      </w:r>
      <w:hyperlink r:id="rId10" w:history="1">
        <w:r>
          <w:rPr>
            <w:color w:val="0000FF"/>
          </w:rPr>
          <w:t>закона</w:t>
        </w:r>
      </w:hyperlink>
      <w:r>
        <w:t>.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2" w:name="Par19"/>
      <w:bookmarkEnd w:id="2"/>
      <w:r>
        <w:t xml:space="preserve">3. </w:t>
      </w:r>
      <w:hyperlink w:anchor="Par1598" w:history="1">
        <w:r>
          <w:rPr>
            <w:color w:val="0000FF"/>
          </w:rPr>
          <w:t>Пункт 2</w:t>
        </w:r>
      </w:hyperlink>
      <w:r>
        <w:t xml:space="preserve"> изменений, утвержденных настоящим постановлением, вступает в силу со дня вступления в силу Федерального </w:t>
      </w:r>
      <w:hyperlink r:id="rId11" w:history="1">
        <w:r>
          <w:rPr>
            <w:color w:val="0000FF"/>
          </w:rPr>
          <w:t>закона</w:t>
        </w:r>
      </w:hyperlink>
      <w:r>
        <w:t xml:space="preserve"> "О внесении изменений в Федеральный закон "О техническом осмотре транспортных средств и о внесении изменений в отдельные законодательные акты Российской Федерации" и отдельные законодательные акты Российской Федерации".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right"/>
      </w:pPr>
      <w:r>
        <w:t>Председатель Правительства</w:t>
      </w:r>
    </w:p>
    <w:p w:rsidR="000518EA" w:rsidRDefault="000518EA">
      <w:pPr>
        <w:pStyle w:val="ConsPlusNormal"/>
        <w:jc w:val="right"/>
      </w:pPr>
      <w:r>
        <w:t>Российской Федерации</w:t>
      </w:r>
    </w:p>
    <w:p w:rsidR="000518EA" w:rsidRDefault="000518EA">
      <w:pPr>
        <w:pStyle w:val="ConsPlusNormal"/>
        <w:jc w:val="right"/>
      </w:pPr>
      <w:r>
        <w:t>М.МИШУСТИН</w:t>
      </w:r>
    </w:p>
    <w:p w:rsidR="000518EA" w:rsidRDefault="000518EA">
      <w:pPr>
        <w:pStyle w:val="ConsPlusNormal"/>
        <w:jc w:val="right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Правила </w:t>
            </w:r>
            <w:hyperlink w:anchor="Par18" w:history="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01.03.2027.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spacing w:before="200"/>
        <w:jc w:val="right"/>
        <w:outlineLvl w:val="0"/>
      </w:pPr>
      <w:r>
        <w:t>Утверждены</w:t>
      </w:r>
    </w:p>
    <w:p w:rsidR="000518EA" w:rsidRDefault="000518EA">
      <w:pPr>
        <w:pStyle w:val="ConsPlusNormal"/>
        <w:jc w:val="right"/>
      </w:pPr>
      <w:r>
        <w:t>постановлением Правительства</w:t>
      </w:r>
    </w:p>
    <w:p w:rsidR="000518EA" w:rsidRDefault="000518EA">
      <w:pPr>
        <w:pStyle w:val="ConsPlusNormal"/>
        <w:jc w:val="right"/>
      </w:pPr>
      <w:r>
        <w:t>Российской Федерации</w:t>
      </w:r>
    </w:p>
    <w:p w:rsidR="000518EA" w:rsidRDefault="000518EA">
      <w:pPr>
        <w:pStyle w:val="ConsPlusNormal"/>
        <w:jc w:val="right"/>
      </w:pPr>
      <w:r>
        <w:t>от 15 сентября 2020 г. N 1434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rPr>
          <w:b/>
          <w:bCs/>
        </w:rPr>
      </w:pPr>
      <w:bookmarkStart w:id="3" w:name="Par36"/>
      <w:bookmarkEnd w:id="3"/>
      <w:r>
        <w:rPr>
          <w:b/>
          <w:bCs/>
        </w:rPr>
        <w:t>ПРАВИЛА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ПРОВЕДЕНИЯ ТЕХНИЧЕСКОГО ОСМОТРА ТРАНСПОРТНЫХ СРЕДСТВ</w:t>
      </w:r>
    </w:p>
    <w:p w:rsidR="000518EA" w:rsidRDefault="000518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2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30.01.2021 N 89)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I. Общие положения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>1. Настоящие Правила устанавливают: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а) порядок оказания услуг по проведению технического осмотра транспортных средств, в том числе с использованием передвижной диагностической линии, включая процедуру подтверждения соответствия транспортных средств (в том числе их частей, предметов их дополнительного оборудования) обязательным требованиям безопасности транспортных средств, проводимую в форме технического диагностирования, в целях допуска транспортных средств к участию в дорожном движении на территории Российской Федерации и в случаях, предусмотренных международными договорами Российской Федерации, также за ее пределами (далее - технический осмотр);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б) особенности проведения технического осмотра вне пунктов технического осмотра с использованием передвижных диагностических линий;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в) порядок аннулирования диагностической карты.</w:t>
      </w:r>
    </w:p>
    <w:p w:rsidR="000518EA" w:rsidRDefault="000518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ТО ТС органов, осуществляющих оперативно-разыскную деятельность (за исключением специально оборудованных), проводится в порядке, установленном данными Правилами (</w:t>
            </w:r>
            <w:hyperlink r:id="rId13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РФ от 17.04.2013 N 348).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spacing w:before="200"/>
        <w:ind w:firstLine="540"/>
        <w:jc w:val="both"/>
      </w:pPr>
      <w:r>
        <w:t>2. Настоящие Правила не применяются к отношениям, связанным с проведением технического осмотра транспортных средств городского наземного электрического транспорта, транспортных средств, зарегистрированных военными автомобильными инспекциями или автомобильными службами федеральных органов исполнительной власти, в которых федеральным законом предусмотрена военная служба, транспортных средств органов, осуществляющих оперативно-разыскную деятельность, а также тракторов, самоходных дорожно-строительных и иных машин, которые имеют двигатель внутреннего сгорания объемом более 50 куб. сантиметров или электродвигатель максимальной мощностью более 4 киловатт, и прицепов к ним и которые зарегистрированы (или подлежат государственной регистрации) органами, осуществляющими государственный надзор за техническим состоянием самоходных машин и других видов техники, если иное не установлено актами Правительства Российской Федерации.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3. Обязательные требования безопасности транспортных средств, предъявляемые при проведении технического осмотра к транспортным средствам отдельных категорий, приведены в </w:t>
      </w:r>
      <w:hyperlink w:anchor="Par97" w:history="1">
        <w:r>
          <w:rPr>
            <w:color w:val="0000FF"/>
          </w:rPr>
          <w:t>приложении N 1</w:t>
        </w:r>
      </w:hyperlink>
      <w:r>
        <w:t>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4. При проведении технического осмотра к транспортным средствам не применяются требования, касающиеся наличия подлежащих проверке элементов конструкции, которые не были предусмотрены на транспортном средстве на момент его выпуска в обращение, при условии отсутствия внесения изменений в его конструкцию в части указанных элементов и содержащих их узлов и агрегатов, за исключением требований, касающихся наличия тахографа или контрольного устройства (тахографа) регистрации режима труда и отдыха водителей транспортных средств, предусмотренного Европейским </w:t>
      </w:r>
      <w:hyperlink r:id="rId14" w:history="1">
        <w:r>
          <w:rPr>
            <w:color w:val="0000FF"/>
          </w:rPr>
          <w:t>соглашением</w:t>
        </w:r>
      </w:hyperlink>
      <w:r>
        <w:t>, касающимся работы экипажей транспортных средств, производящих международные автомобильные перевозки (ЕСТР).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5. Технический осмотр проводится операторами технического осмотра, аккредитованными в установленном </w:t>
      </w:r>
      <w:hyperlink r:id="rId15" w:history="1">
        <w:r>
          <w:rPr>
            <w:color w:val="0000FF"/>
          </w:rPr>
          <w:t>порядке</w:t>
        </w:r>
      </w:hyperlink>
      <w:r>
        <w:t xml:space="preserve"> для проведения технического осмотра в области аккредитации, соответствующей категориям транспортных средств, предусмотренным </w:t>
      </w:r>
      <w:hyperlink w:anchor="Par97" w:history="1">
        <w:r>
          <w:rPr>
            <w:color w:val="0000FF"/>
          </w:rPr>
          <w:t>приложениями N 1</w:t>
        </w:r>
      </w:hyperlink>
      <w:r>
        <w:t xml:space="preserve"> и </w:t>
      </w:r>
      <w:hyperlink w:anchor="Par975" w:history="1">
        <w:r>
          <w:rPr>
            <w:color w:val="0000FF"/>
          </w:rPr>
          <w:t>2</w:t>
        </w:r>
      </w:hyperlink>
      <w:r>
        <w:t xml:space="preserve"> (далее - операторы технического осмотра).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6. Проведение технического осмотра осуществляется на платной основе в соответствии с договором о проведении технического осмотра, заключаемым владельцем транспортного средства или его представителем, в том числе представителем, действующим на основании доверенности, оформленной в простой письменной форме (далее - заявитель), и оператором технического осмотра по типовой форме, утвержденной Министерством экономического развития Российской Федерации.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7. Размер платы за проведение технического осмотра и размер платы за проведение повторного технического осмотра, который определяется объемом выполненных работ, устанавливаются оператором технического осмотра и не могут превышать предельный размер платы за проведение технического осмотра, установленный высшим исполнительным органом государственной власти субъекта Российской Федерации в соответствии с </w:t>
      </w:r>
      <w:hyperlink r:id="rId16" w:history="1">
        <w:r>
          <w:rPr>
            <w:color w:val="0000FF"/>
          </w:rPr>
          <w:t>методикой</w:t>
        </w:r>
      </w:hyperlink>
      <w:r>
        <w:t>, утвержденной Федеральной антимонопольной службой.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8. Операторы технического осмотра обеспечивают размещение в информационно-телекоммуникационной сети "Интернет" и в удобном для ознакомления владельцами транспортных средств месте и виде в пунктах технического осмотра и местах работы передвижных диагностических линий (при наличии) текста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"О техническом осмотре транспортных средств и о внесении изменений в отдельные законодательные акты Российской Федерации", настоящих Правил, информации справочного характера (в том числе адресов оператора технического осмотра, пунктов технического осмотра и мест работы передвижных диагностических линий (при наличии), номеров телефонов, адреса электронной почты, адреса сайта оператора технического осмотра в информационно-телекоммуникационной сети "Интернет"), актуальной информации о режиме работы пунктов технического осмотра и передвижных диагностических линий (при наличии), информации о размерах платы за проведение технического осмотра и платы за проведение повторного технического осмотра, перечня </w:t>
      </w:r>
      <w:hyperlink r:id="rId18" w:history="1">
        <w:r>
          <w:rPr>
            <w:color w:val="0000FF"/>
          </w:rPr>
          <w:t>документов</w:t>
        </w:r>
      </w:hyperlink>
      <w:r>
        <w:t xml:space="preserve">, необходимых для прохождения технического осмотра, копии аттестата аккредитации оператора технического осмотра и сведений о наличии передвижных диагностических линий (при наличии), типовой </w:t>
      </w:r>
      <w:hyperlink r:id="rId19" w:history="1">
        <w:r>
          <w:rPr>
            <w:color w:val="0000FF"/>
          </w:rPr>
          <w:t>формы</w:t>
        </w:r>
      </w:hyperlink>
      <w:r>
        <w:t xml:space="preserve"> договора о проведении технического осмотра, а также информации о возможности предварительной записи на технический осмотр.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II. Порядок оказания услуг по проведению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технического осмотра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bookmarkStart w:id="4" w:name="Par60"/>
      <w:bookmarkEnd w:id="4"/>
      <w:r>
        <w:t>9. Для проведения технического осмотра заявитель обращается к любому оператору технического осмотра в любой пункт технического осмотра вне зависимости от места государственной регистрации транспортного средства и представляет транспортное средство, а также следующие документы: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а) </w:t>
      </w:r>
      <w:hyperlink r:id="rId20" w:history="1">
        <w:r>
          <w:rPr>
            <w:color w:val="0000FF"/>
          </w:rPr>
          <w:t>документ</w:t>
        </w:r>
      </w:hyperlink>
      <w:r>
        <w:t>, удостоверяющий личность;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б) </w:t>
      </w:r>
      <w:hyperlink r:id="rId21" w:history="1">
        <w:r>
          <w:rPr>
            <w:color w:val="0000FF"/>
          </w:rPr>
          <w:t>свидетельство</w:t>
        </w:r>
      </w:hyperlink>
      <w:r>
        <w:t xml:space="preserve"> о регистрации транспортного средства или паспорт транспортного средства.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10. В случае непредставления заявителем указанных в </w:t>
      </w:r>
      <w:hyperlink w:anchor="Par60" w:history="1">
        <w:r>
          <w:rPr>
            <w:color w:val="0000FF"/>
          </w:rPr>
          <w:t>пункте 9</w:t>
        </w:r>
      </w:hyperlink>
      <w:r>
        <w:t xml:space="preserve"> настоящих Правил документов либо в случае отказа от оплаты услуг по проведению технического осмотра оператор технического осмотра отказывает заявителю в оказании услуг по проведению технического осмотра.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11. Оператор технического осмотра устанавливает тождественность идентификационного номера транспортного средства и (или) идентификационных номеров основных компонентов транспортного средства (кузова, рамы, кабины) и данных, содержащихся в свидетельстве о регистрации транспортного средства или паспорте транспортного средства (электронном паспорте транспортного средства).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При несоответствии данных транспортного средства, в том числе его идентификационного номера и (или) идентификационных номеров его основных компонентов (кузова, рамы, кабины), данным документов, идентифицирующих </w:t>
      </w:r>
      <w:r>
        <w:lastRenderedPageBreak/>
        <w:t>это транспортное средство, оператор технического осмотра вносит в единую автоматизированную информационную систему технического осмотра информацию об отказе в оказании услуг по проведению технического осмотра. Такая информация содержит указание на выявленные несоответствия.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При соответствии данных транспортного средства данным документов, идентифицирующих транспортное средство, это транспортное средство допускается к проведению технического диагностирования.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До начала проведения технического диагностирования заявителем производится оплата услуг, оказываемых по договору о проведении технического осмотра, что подтверждает заключение указанного договора.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12. Техническое диагностирование осуществляется техническими экспертами, отвечающими </w:t>
      </w:r>
      <w:hyperlink r:id="rId22" w:history="1">
        <w:r>
          <w:rPr>
            <w:color w:val="0000FF"/>
          </w:rPr>
          <w:t>квалификационным требованиям</w:t>
        </w:r>
      </w:hyperlink>
      <w:r>
        <w:t>, установленным Министерством промышленности и торговли Российской Федерации, которые уполномочены оператором технического осмотра на проведение такого диагностирования в соответствующем пункте технического осмотра или на соответствующей передвижной диагностической линии и сведения о которых внесены в реестр операторов технического осмотра.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13. Техническое диагностирование проводится с помощью средств технического диагностирования и методов органолептического контроля на пунктах технического осмотра или с использованием передвижных диагностических линий, обеспечивающих выполнение в полном объеме процедуры технического осмотра в соответствии с требованиями к производственно-технической базе, фотографическому изображению транспортного средства, точности определения координат места проведения технического диагностирования и требованиями документов, содержащихся в </w:t>
      </w:r>
      <w:hyperlink r:id="rId23" w:history="1">
        <w:r>
          <w:rPr>
            <w:color w:val="0000FF"/>
          </w:rPr>
          <w:t>перечне</w:t>
        </w:r>
      </w:hyperlink>
      <w:r>
        <w:t xml:space="preserve"> документов по стандартизации, обязательное применение которых обеспечивает безопасность дорожного движения при его организации на территории Российской Федерации, утвержденном распоряжением Правительства Российской Федерации от 4 ноября 2017 г. N 2438-р.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14. Продолжительность технического диагностирования транспортных средств отдельных категорий приводится в </w:t>
      </w:r>
      <w:hyperlink w:anchor="Par975" w:history="1">
        <w:r>
          <w:rPr>
            <w:color w:val="0000FF"/>
          </w:rPr>
          <w:t>приложении N 2</w:t>
        </w:r>
      </w:hyperlink>
      <w:r>
        <w:t xml:space="preserve"> к настоящим Правилам.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15. По результатам технического осмотра оператор оформляет в единой автоматизированной информационной системе технического осмотра диагностическую карту по форме согласно </w:t>
      </w:r>
      <w:hyperlink w:anchor="Par1131" w:history="1">
        <w:r>
          <w:rPr>
            <w:color w:val="0000FF"/>
          </w:rPr>
          <w:t>приложению N 3</w:t>
        </w:r>
      </w:hyperlink>
      <w:r>
        <w:t>, содержащую заключение о соответствии или несоответствии транспортного средства обязательным требованиям безопасности транспортных средств (подтверждающую или не подтверждающую допуск транспортного средства к участию в дорожном движении), которая подписывается усиленной квалифицированной электронной подписью технического эксперта, проводившего техническое диагностирование транспортного средства.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По запросу заявителя оператор технического осмотра выдает диагностическую карту на бумажном носителе, которая заверяется подписью технического эксперта, проводившего техническое диагностирование, и печатью оператора технического осмотра.</w:t>
      </w:r>
    </w:p>
    <w:p w:rsidR="000518EA" w:rsidRDefault="001723B9">
      <w:pPr>
        <w:pStyle w:val="ConsPlusNormal"/>
        <w:spacing w:before="160"/>
        <w:ind w:firstLine="540"/>
        <w:jc w:val="both"/>
      </w:pPr>
      <w:hyperlink r:id="rId24" w:history="1">
        <w:r w:rsidR="000518EA">
          <w:rPr>
            <w:color w:val="0000FF"/>
          </w:rPr>
          <w:t>Правила</w:t>
        </w:r>
      </w:hyperlink>
      <w:r w:rsidR="000518EA">
        <w:t xml:space="preserve"> заполнения диагностической карты утверждаются Министерством транспорта Российской Федерации.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16. Транспортное средство, в отношении которого оформлена диагностическая карта, содержащая заключение о несоответствии транспортного средства обязательным требованиям безопасности транспортных средств (не подтверждающая допуск транспортного средства к участию в дорожном движении), подлежит повторному техническому осмотру, проводимому в порядке, предусмотренном настоящими Правилами, с учетом особенностей, установленных </w:t>
      </w:r>
      <w:hyperlink r:id="rId25" w:history="1">
        <w:r>
          <w:rPr>
            <w:color w:val="0000FF"/>
          </w:rPr>
          <w:t>статьей 18</w:t>
        </w:r>
      </w:hyperlink>
      <w:r>
        <w:t xml:space="preserve"> Федерального закона "О техническом осмотре транспортных средств и о внесении изменений в отдельные законодательные акты Российской Федерации".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III. Особенности проведения технического осмотра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вне пунктов технического осмотра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 xml:space="preserve">17. Проведение технического осмотра вне пунктов технического осмотра организуется с использованием передвижных диагностических линий в целях выполнения нормативов минимальной обеспеченности населения пунктами технического осмотра, предусмотренных </w:t>
      </w:r>
      <w:hyperlink r:id="rId26" w:history="1">
        <w:r>
          <w:rPr>
            <w:color w:val="0000FF"/>
          </w:rPr>
          <w:t>статьей 6</w:t>
        </w:r>
      </w:hyperlink>
      <w:r>
        <w:t xml:space="preserve"> Федерального закона "О техническом осмотре транспортных средств и о внесении изменений в отдельные законодательные акты Российской Федерации".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18. Оператор технического осмотра, являющийся владельцем передвижной диагностической линии, проводит технический осмотр с использованием передвижной диагностической линии в границах субъекта Российской Федерации, в котором расположен пункт технического осмотра такого оператора технического осмотра.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19. Адреса (координаты) мест проведения технического осмотра, в том числе с использованием передвижной диагностической линии, во входящих в состав субъекта Российской Федерации муниципальных образованиях, в которых не соблюдаются нормативы минимальной обеспеченности населения пунктами технического осмотра, согласовываются оператором технического осмотра с исполнительным органом государственной власти субъекта Российской Федерации, уполномоченным на принятие мер по организации проведения технического осмотра.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20. График работы пункта технического осмотра, использующего передвижную диагностическую линию (с учетом климатических условий эксплуатации, установленных заводом-изготовителем передвижных диагностических линий), согласовывается с исполнительным органом государственной власти субъекта Российской Федерации, уполномоченным на принятие мер по организации технического осмотра в регионе.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IV. Порядок аннулирования диагностической карты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 xml:space="preserve">21. В случаях, указанных в </w:t>
      </w:r>
      <w:hyperlink r:id="rId27" w:history="1">
        <w:r>
          <w:rPr>
            <w:color w:val="0000FF"/>
          </w:rPr>
          <w:t>части 10 статьи 19</w:t>
        </w:r>
      </w:hyperlink>
      <w:r>
        <w:t xml:space="preserve"> Федерального закона "О техническом осмотре транспортных средств и о внесении изменений в отдельные законодательные акты Российской Федерации", диагностическая карта аннулируется органом государственного контроля (надзора) за организацией и проведением технического осмотра транспортных средств путем внесения уполномоченным должностным лицом этого органа соответствующих сведений в единую автоматизированную информационную систему технического осмотра на основании решения руководителя (заместителя руководителя) такого органа одновременно с принятием решения о привлечении к административной ответственности оператора технического осмотра транспортного средства в соответствии со </w:t>
      </w:r>
      <w:hyperlink r:id="rId28" w:history="1">
        <w:r>
          <w:rPr>
            <w:color w:val="0000FF"/>
          </w:rPr>
          <w:t>статьей 14.4.1</w:t>
        </w:r>
      </w:hyperlink>
      <w:r>
        <w:t xml:space="preserve"> Кодекса Российской Федерации </w:t>
      </w:r>
      <w:r>
        <w:lastRenderedPageBreak/>
        <w:t>об административных правонарушениях.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22. Орган государственного контроля (надзора) за организацией и проведением технического осмотра транспортных средств в течение 3 рабочих дней со дня аннулирования диагностической карты информирует о таком аннулировании страховщика, заключившего договор обязательного страхования гражданской ответственности владельцев транспортных средств на основании такой диагностической карты, и (или) профессиональное объединение страховщиков, а также собственника транспортного средства.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right"/>
        <w:outlineLvl w:val="1"/>
      </w:pPr>
      <w:r>
        <w:t>Приложение N 1</w:t>
      </w:r>
    </w:p>
    <w:p w:rsidR="000518EA" w:rsidRDefault="000518EA">
      <w:pPr>
        <w:pStyle w:val="ConsPlusNormal"/>
        <w:jc w:val="right"/>
      </w:pPr>
      <w:r>
        <w:t>к Правилам проведения технического</w:t>
      </w:r>
    </w:p>
    <w:p w:rsidR="000518EA" w:rsidRDefault="000518EA">
      <w:pPr>
        <w:pStyle w:val="ConsPlusNormal"/>
        <w:jc w:val="right"/>
      </w:pPr>
      <w:r>
        <w:t>осмотра транспортных средств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rPr>
          <w:b/>
          <w:bCs/>
        </w:rPr>
      </w:pPr>
      <w:bookmarkStart w:id="5" w:name="Par97"/>
      <w:bookmarkEnd w:id="5"/>
      <w:r>
        <w:rPr>
          <w:b/>
          <w:bCs/>
        </w:rPr>
        <w:t>ОБЯЗАТЕЛЬНЫЕ ТРЕБОВАНИЯ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БЕЗОПАСНОСТИ ТРАНСПОРТНЫХ СРЕДСТВ, ПРЕДЪЯВЛЯЕМЫЕ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ПРИ ПРОВЕДЕНИИ ТЕХНИЧЕСКОГО ОСМОТРА К ТРАНСПОРТНЫМ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СРЕДСТВАМ ОТДЕЛЬНЫХ КАТЕГОРИЙ</w:t>
      </w:r>
    </w:p>
    <w:p w:rsidR="000518EA" w:rsidRDefault="000518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2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30.01.2021 N 89)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sectPr w:rsidR="000518EA">
          <w:pgSz w:w="11906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29"/>
        <w:gridCol w:w="926"/>
        <w:gridCol w:w="926"/>
        <w:gridCol w:w="926"/>
        <w:gridCol w:w="926"/>
        <w:gridCol w:w="926"/>
        <w:gridCol w:w="926"/>
        <w:gridCol w:w="926"/>
        <w:gridCol w:w="926"/>
        <w:gridCol w:w="931"/>
      </w:tblGrid>
      <w:tr w:rsidR="000518EA">
        <w:tc>
          <w:tcPr>
            <w:tcW w:w="53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Обязательные требования безопасности транспортных средств</w:t>
            </w:r>
          </w:p>
        </w:tc>
        <w:tc>
          <w:tcPr>
            <w:tcW w:w="83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 xml:space="preserve">Категории транспортных средств </w:t>
            </w:r>
            <w:hyperlink w:anchor="Par958" w:history="1">
              <w:r>
                <w:rPr>
                  <w:color w:val="0000FF"/>
                </w:rPr>
                <w:t>&lt;1&gt;</w:t>
              </w:r>
            </w:hyperlink>
          </w:p>
        </w:tc>
      </w:tr>
      <w:tr w:rsidR="000518EA">
        <w:tc>
          <w:tcPr>
            <w:tcW w:w="53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1</w:t>
            </w:r>
            <w:r>
              <w:t>, O</w:t>
            </w:r>
            <w:r>
              <w:rPr>
                <w:vertAlign w:val="subscript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3</w:t>
            </w:r>
            <w:r>
              <w:t>, O</w:t>
            </w:r>
            <w:r>
              <w:rPr>
                <w:vertAlign w:val="subscript"/>
              </w:rPr>
              <w:t>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L</w:t>
            </w:r>
          </w:p>
        </w:tc>
      </w:tr>
      <w:tr w:rsidR="000518EA">
        <w:tc>
          <w:tcPr>
            <w:tcW w:w="13668" w:type="dxa"/>
            <w:gridSpan w:val="10"/>
            <w:tcBorders>
              <w:top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  <w:outlineLvl w:val="2"/>
            </w:pPr>
            <w:r>
              <w:t>I. Тормозные системы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1. Показатели эффективности тормозной системы и устойчивости транспортного средства должны соответствовать требованиям </w:t>
            </w:r>
            <w:hyperlink r:id="rId30" w:history="1">
              <w:r>
                <w:rPr>
                  <w:color w:val="0000FF"/>
                </w:rPr>
                <w:t>пунктов 1.2</w:t>
              </w:r>
            </w:hyperlink>
            <w:r>
              <w:t xml:space="preserve"> - </w:t>
            </w:r>
            <w:hyperlink r:id="rId31" w:history="1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r:id="rId32" w:history="1">
              <w:r>
                <w:rPr>
                  <w:color w:val="0000FF"/>
                </w:rPr>
                <w:t>1.8</w:t>
              </w:r>
            </w:hyperlink>
            <w:r>
              <w:t xml:space="preserve">, </w:t>
            </w:r>
            <w:hyperlink r:id="rId33" w:history="1">
              <w:r>
                <w:rPr>
                  <w:color w:val="0000FF"/>
                </w:rPr>
                <w:t>1.10</w:t>
              </w:r>
            </w:hyperlink>
            <w:r>
              <w:t xml:space="preserve"> приложения N 8 к техническому регламенту Таможенного союза "О безопасности колесных транспортных средств" (ТР ТС 018/2011), утвержденному решением Комиссии Таможенного союза от 9 декабря 2011 г. N 877 (далее - ТР ТС 018/2011)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2. При проверках на стендах допускается относительная разность тормозных сил колес оси согласно </w:t>
            </w:r>
            <w:hyperlink r:id="rId34" w:history="1">
              <w:r>
                <w:rPr>
                  <w:color w:val="0000FF"/>
                </w:rPr>
                <w:t>пункту 1.4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3. Рабочая тормозная система автопоездов с пневматическим тормозным приводом в режиме аварийного (автоматического) торможения должна быть работоспособна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4. Утечки сжатого воздуха из колесных тормозных камер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5. Подтекания тормозной жидкости, нарушения герметичности трубопроводов или соединений в гидравлическом тормозном приводе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6. Коррозия, грозящая потерей герметичности или разрушением,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7. Механические повреждения тормозных трубопроводов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8. Наличие деталей с трещинами или остаточной деформацией в тормозном приводе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9. Средства сигнализации и контроля тормозных систем, манометры пневматического и пневмогидравлического тормозного привода, устройство фиксации органа управления стояночной тормозной системы должны быть работоспособны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10. Набухание тормозных шлангов под давлением, наличие трещин на них и видимых мест перетирания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11. Расположение и длина соединительных шлангов пневматического тормозного привода автопоездов должны </w:t>
            </w:r>
            <w:r>
              <w:lastRenderedPageBreak/>
              <w:t>исключать их повреждения при взаимных перемещениях тягача и прицепа (полуприцепа)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13668" w:type="dxa"/>
            <w:gridSpan w:val="10"/>
          </w:tcPr>
          <w:p w:rsidR="000518EA" w:rsidRDefault="000518EA">
            <w:pPr>
              <w:pStyle w:val="ConsPlusNormal"/>
              <w:jc w:val="center"/>
              <w:outlineLvl w:val="2"/>
            </w:pPr>
            <w:r>
              <w:lastRenderedPageBreak/>
              <w:t>II. Рулевое управление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12. Изменение усилия при повороте рулевого колеса должно быть плавным во всем диапазоне угла его поворота. Неработоспособность усилителя рулевого управления транспортного средства (при его наличии на транспортном средстве)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13. Самопроизвольный поворот рулевого колеса с усилителем рулевого управления от нейтрального положения при работающем двигателе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14. Суммарный люфт в рулевом управлении не должен превышать предельных значений, установленных изготовителем транспортного средства, а при отсутствии указанных данных - предельных значений, указанных в </w:t>
            </w:r>
            <w:hyperlink r:id="rId35" w:history="1">
              <w:r>
                <w:rPr>
                  <w:color w:val="0000FF"/>
                </w:rPr>
                <w:t>пункте 2.3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15. Повреждения и отсутствие деталей крепления рулевой колонки и картера рулевого механизма, а также повышение подвижности деталей рулевого привода относительно друг друга или кузова (рамы), не предусмотренное изготовителем транспортного средства (в эксплуатационной документации), не допускаются. Резьбовые соединения должны быть затянуты и зафиксированы способом, предусмотренным изготовителем транспортного средства. Люфт в соединениях рычагов поворотных цапф и шарнирах рулевых тяг не допускается. Устройство фиксации положения рулевой колонки с регулируемым положением рулевого колеса должно быть работоспособно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16. Применение в рулевом механизме и рулевом приводе деталей со следами остаточной деформации, с трещинами и другими дефектами, неработоспособность или отсутствие предусмотренного изготовителем транспортного средства в эксплуатационной документации транспортного средства рулевого демпфера и усилителя рулевого управления не допускаются. Подтекание рабочей жидкости в гидросистеме усилителя рулевого управления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17. Максимальный поворот рулевого колеса должен ограничиваться только устройствами, предусмотренными конструкцией транспортного средства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13668" w:type="dxa"/>
            <w:gridSpan w:val="10"/>
          </w:tcPr>
          <w:p w:rsidR="000518EA" w:rsidRDefault="000518EA">
            <w:pPr>
              <w:pStyle w:val="ConsPlusNormal"/>
              <w:jc w:val="center"/>
              <w:outlineLvl w:val="2"/>
            </w:pPr>
            <w:r>
              <w:t>III. Внешние световые приборы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18. На транспортных средствах применение устройств освещения и световой сигнализации определяется требованиями </w:t>
            </w:r>
            <w:hyperlink r:id="rId36" w:history="1">
              <w:r>
                <w:rPr>
                  <w:color w:val="0000FF"/>
                </w:rPr>
                <w:t>пунктов 3.1</w:t>
              </w:r>
            </w:hyperlink>
            <w:r>
              <w:t xml:space="preserve"> - </w:t>
            </w:r>
            <w:hyperlink r:id="rId37" w:history="1">
              <w:r>
                <w:rPr>
                  <w:color w:val="0000FF"/>
                </w:rPr>
                <w:t>3.5</w:t>
              </w:r>
            </w:hyperlink>
            <w:r>
              <w:t xml:space="preserve">, </w:t>
            </w:r>
            <w:r>
              <w:lastRenderedPageBreak/>
              <w:t xml:space="preserve">а также </w:t>
            </w:r>
            <w:hyperlink r:id="rId38" w:history="1">
              <w:r>
                <w:rPr>
                  <w:color w:val="0000FF"/>
                </w:rPr>
                <w:t>таблицы 3.1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>19. Отсутствие, разрушения и загрязнения рассеивателей внешних световых приборов и установка не предусмотренных конструкцией светового прибора оптических элементов (в том числе бесцветных или окрашенных оптических деталей и пленок) не допускаются.</w:t>
            </w:r>
          </w:p>
          <w:p w:rsidR="000518EA" w:rsidRDefault="000518EA">
            <w:pPr>
              <w:pStyle w:val="ConsPlusNormal"/>
            </w:pPr>
            <w:r>
              <w:t xml:space="preserve">Указанное требование не распространяется на оптические элементы, предназначенные для коррекции светового пучка фар в целях приведения его в соответствие с требованиями </w:t>
            </w:r>
            <w:hyperlink r:id="rId39" w:history="1">
              <w:r>
                <w:rPr>
                  <w:color w:val="0000FF"/>
                </w:rPr>
                <w:t>ТР ТС 018/2011</w:t>
              </w:r>
            </w:hyperlink>
            <w:r>
              <w:t>.</w:t>
            </w:r>
          </w:p>
          <w:p w:rsidR="000518EA" w:rsidRDefault="000518EA">
            <w:pPr>
              <w:pStyle w:val="ConsPlusNormal"/>
            </w:pPr>
            <w:r>
              <w:t xml:space="preserve">В случае установки оптических элементов, предназначенных для коррекции светового пучка фар в целях приведения его в соответствие с требованиями </w:t>
            </w:r>
            <w:hyperlink r:id="rId40" w:history="1">
              <w:r>
                <w:rPr>
                  <w:color w:val="0000FF"/>
                </w:rPr>
                <w:t>ТР ТС 018/2011</w:t>
              </w:r>
            </w:hyperlink>
            <w:r>
              <w:t xml:space="preserve">, подтверждение этого соответствия должно производиться в соответствии с </w:t>
            </w:r>
            <w:hyperlink r:id="rId41" w:history="1">
              <w:r>
                <w:rPr>
                  <w:color w:val="0000FF"/>
                </w:rPr>
                <w:t>разделом 9</w:t>
              </w:r>
            </w:hyperlink>
            <w:r>
              <w:t xml:space="preserve"> приложения N 9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20. Сигналы торможения (основные и дополнительные) должны включаться при воздействии на органы управления рабочей и аварийной тормозных систем и работать в постоянном режиме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21. Углы регулировки и сила света фар должны соответствовать требованиям </w:t>
            </w:r>
            <w:hyperlink r:id="rId42" w:history="1">
              <w:r>
                <w:rPr>
                  <w:color w:val="0000FF"/>
                </w:rPr>
                <w:t>пунктов 3.8.4</w:t>
              </w:r>
            </w:hyperlink>
            <w:r>
              <w:t xml:space="preserve"> - </w:t>
            </w:r>
            <w:hyperlink r:id="rId43" w:history="1">
              <w:r>
                <w:rPr>
                  <w:color w:val="0000FF"/>
                </w:rPr>
                <w:t>3.8.8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22. Изменение мест расположения и демонтаж предусмотренных конструкцией транспортного средства фар и сигнальных фонарей не допускаются </w:t>
            </w:r>
            <w:hyperlink w:anchor="Par959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23. Следующие компоненты транспортных средств согласно их типу должны соответствовать требованиям пунктов </w:t>
            </w:r>
            <w:hyperlink r:id="rId44" w:history="1">
              <w:r>
                <w:rPr>
                  <w:color w:val="0000FF"/>
                </w:rPr>
                <w:t>приложения N 8</w:t>
              </w:r>
            </w:hyperlink>
            <w:r>
              <w:t xml:space="preserve"> к ТР ТС 018/2011:</w:t>
            </w:r>
          </w:p>
          <w:p w:rsidR="000518EA" w:rsidRDefault="000518EA">
            <w:pPr>
              <w:pStyle w:val="ConsPlusNormal"/>
            </w:pPr>
            <w:r>
              <w:t xml:space="preserve">светоотражающая маркировка - </w:t>
            </w:r>
            <w:hyperlink r:id="rId45" w:history="1">
              <w:r>
                <w:rPr>
                  <w:color w:val="0000FF"/>
                </w:rPr>
                <w:t>пункту 3.7</w:t>
              </w:r>
            </w:hyperlink>
            <w:r>
              <w:t>;</w:t>
            </w:r>
          </w:p>
          <w:p w:rsidR="000518EA" w:rsidRDefault="000518EA">
            <w:pPr>
              <w:pStyle w:val="ConsPlusNormal"/>
            </w:pPr>
            <w:r>
              <w:t xml:space="preserve">фары ближнего и дальнего света и противотуманные - </w:t>
            </w:r>
            <w:hyperlink r:id="rId46" w:history="1">
              <w:r>
                <w:rPr>
                  <w:color w:val="0000FF"/>
                </w:rPr>
                <w:t>пункту 3.8.1</w:t>
              </w:r>
            </w:hyperlink>
            <w:r>
              <w:t>;</w:t>
            </w:r>
          </w:p>
          <w:p w:rsidR="000518EA" w:rsidRDefault="000518EA">
            <w:pPr>
              <w:pStyle w:val="ConsPlusNormal"/>
            </w:pPr>
            <w:r>
              <w:t xml:space="preserve">источники света в фарах - </w:t>
            </w:r>
            <w:hyperlink r:id="rId47" w:history="1">
              <w:r>
                <w:rPr>
                  <w:color w:val="0000FF"/>
                </w:rPr>
                <w:t>пункту 3.8.2</w:t>
              </w:r>
            </w:hyperlink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13668" w:type="dxa"/>
            <w:gridSpan w:val="10"/>
          </w:tcPr>
          <w:p w:rsidR="000518EA" w:rsidRDefault="000518EA">
            <w:pPr>
              <w:pStyle w:val="ConsPlusNormal"/>
              <w:jc w:val="center"/>
              <w:outlineLvl w:val="2"/>
            </w:pPr>
            <w:r>
              <w:t>IV. Стеклоочистители и стеклоомыватели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24. Стеклоочистители и стеклоомыватели должны быть работоспособны. Не допускается демонтаж предусмотренных изготовителем транспортного средства в эксплуатационной документации транспортного средства стеклоочистителей и стеклоомывателей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25. Стеклоомыватель должен обеспечивать подачу жидкости в зоны очистки стекла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13668" w:type="dxa"/>
            <w:gridSpan w:val="10"/>
          </w:tcPr>
          <w:p w:rsidR="000518EA" w:rsidRDefault="000518EA">
            <w:pPr>
              <w:pStyle w:val="ConsPlusNormal"/>
              <w:jc w:val="center"/>
              <w:outlineLvl w:val="2"/>
            </w:pPr>
            <w:r>
              <w:t>V. Шины и колеса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26. Остаточная глубина рисунка протектора шин должна соответствовать требованиям </w:t>
            </w:r>
            <w:hyperlink r:id="rId48" w:history="1">
              <w:r>
                <w:rPr>
                  <w:color w:val="0000FF"/>
                </w:rPr>
                <w:t>пункта 5.6.1</w:t>
              </w:r>
            </w:hyperlink>
            <w:r>
              <w:t xml:space="preserve"> и </w:t>
            </w:r>
            <w:hyperlink r:id="rId49" w:history="1">
              <w:r>
                <w:rPr>
                  <w:color w:val="0000FF"/>
                </w:rPr>
                <w:t>5.6.2</w:t>
              </w:r>
            </w:hyperlink>
            <w:r>
              <w:t xml:space="preserve"> приложения N 8 к </w:t>
            </w:r>
            <w:r>
              <w:lastRenderedPageBreak/>
              <w:t>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 xml:space="preserve">27. Шина считается непригодной к эксплуатации в случаях, установленных </w:t>
            </w:r>
            <w:hyperlink r:id="rId50" w:history="1">
              <w:r>
                <w:rPr>
                  <w:color w:val="0000FF"/>
                </w:rPr>
                <w:t>пунктами 5.6.1</w:t>
              </w:r>
            </w:hyperlink>
            <w:r>
              <w:t xml:space="preserve"> - </w:t>
            </w:r>
            <w:hyperlink r:id="rId51" w:history="1">
              <w:r>
                <w:rPr>
                  <w:color w:val="0000FF"/>
                </w:rPr>
                <w:t>5.6.5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28. Отсутствие хотя бы одного болта или гайки крепления дисков и ободьев колес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29. Наличие трещин на дисках и ободьях колес, а также следов их устранения сваркой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30. Видимые нарушения формы и размеров крепежных отверстий в дисках колес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31. Установка на одну ось транспортного средства шин разных размеров, конструкций (радиальной, диагональной, камерной, бескамерной), моделей, с разными рисунками протектора, морозостойких и неморозостойких, новых и восстановленных, новых и с углубленным рисунком протектора не допускается. Шины с шипами противоскольжения в случае их применения должны быть установлены на все колеса транспортного средства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13668" w:type="dxa"/>
            <w:gridSpan w:val="10"/>
          </w:tcPr>
          <w:p w:rsidR="000518EA" w:rsidRDefault="000518EA">
            <w:pPr>
              <w:pStyle w:val="ConsPlusNormal"/>
              <w:jc w:val="center"/>
              <w:outlineLvl w:val="2"/>
            </w:pPr>
            <w:r>
              <w:t>VI. Двигатель и его системы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32. Содержание загрязняющих веществ в отработавших газах транспортных средств должно соответствовать требованиям </w:t>
            </w:r>
            <w:hyperlink r:id="rId52" w:history="1">
              <w:r>
                <w:rPr>
                  <w:color w:val="0000FF"/>
                </w:rPr>
                <w:t>пунктов 9.1</w:t>
              </w:r>
            </w:hyperlink>
            <w:r>
              <w:t xml:space="preserve"> и </w:t>
            </w:r>
            <w:hyperlink r:id="rId53" w:history="1">
              <w:r>
                <w:rPr>
                  <w:color w:val="0000FF"/>
                </w:rPr>
                <w:t>9.2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33. Подтекание и каплепадение топлива в системе питания бензиновых и дизельных двигателей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34. Запорные устройства топливных баков и устройства перекрытия топлива должны быть работоспособны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35. Система питания газобаллонных транспортных средств, ее размещение и установка должны соответствовать требованиям </w:t>
            </w:r>
            <w:hyperlink r:id="rId54" w:history="1">
              <w:r>
                <w:rPr>
                  <w:color w:val="0000FF"/>
                </w:rPr>
                <w:t>пункта 9.8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36. Уровень шума выпускной системы транспортного средства должен соответствовать требованиям </w:t>
            </w:r>
            <w:hyperlink r:id="rId55" w:history="1">
              <w:r>
                <w:rPr>
                  <w:color w:val="0000FF"/>
                </w:rPr>
                <w:t>пункта 9.9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13668" w:type="dxa"/>
            <w:gridSpan w:val="10"/>
          </w:tcPr>
          <w:p w:rsidR="000518EA" w:rsidRDefault="000518EA">
            <w:pPr>
              <w:pStyle w:val="ConsPlusNormal"/>
              <w:jc w:val="center"/>
              <w:outlineLvl w:val="2"/>
            </w:pPr>
            <w:r>
              <w:t>VII. Прочие элементы конструкции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37. Транспортное средство должно быть укомплектовано обеспечивающими поля обзора зеркалами заднего вида согласно </w:t>
            </w:r>
            <w:hyperlink r:id="rId56" w:history="1">
              <w:r>
                <w:rPr>
                  <w:color w:val="0000FF"/>
                </w:rPr>
                <w:t>таблице 4.1</w:t>
              </w:r>
            </w:hyperlink>
            <w:r>
              <w:t xml:space="preserve"> приложения N 8 к ТР ТС 018/2011. При отсутствии </w:t>
            </w:r>
            <w:r>
              <w:lastRenderedPageBreak/>
              <w:t>возможности обзора через задние стекла легковых автомобилей необходима установка наружных зеркал заднего вида с обеих сторон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 xml:space="preserve">38. Не допускается наличие дополнительных предметов или покрытий, ограничивающих обзорность с места водителя (за исключением зеркал заднего вида, деталей стеклоочистителей, наружных и нанесенных или встроенных в стекла радиоантенн, нагревательных элементов устройств размораживания и осушения ветрового стекла). В верхней части ветрового стекла допускается крепление полосы прозрачной цветной пленки шириной, соответствующей требованиям </w:t>
            </w:r>
            <w:hyperlink r:id="rId57" w:history="1">
              <w:r>
                <w:rPr>
                  <w:color w:val="0000FF"/>
                </w:rPr>
                <w:t>пункта 4.3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39. Светопропускание ветрового стекла и стекол, через которые обеспечивается передняя обзорность для водителя, должно соответствовать требованиям </w:t>
            </w:r>
            <w:hyperlink r:id="rId58" w:history="1">
              <w:r>
                <w:rPr>
                  <w:color w:val="0000FF"/>
                </w:rPr>
                <w:t>пункта 4.3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40. Наличие трещин на ветровых стеклах транспортных средств в зоне очистки стеклоочистителем половины стекла, расположенной со стороны водителя,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41. Замки дверей кузова или кабины, механизмы регулировки и фиксирующие устройства сидений водителя и пассажиров, устройство обогрева и обдува ветрового стекла и предусмотренное изготовителем транспортного средства противоугонное устройство должны быть работоспособны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42. Запоры бортов грузовой платформы и запоры горловин цистерн должны быть работоспособны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43. Аварийный выключатель дверей и сигнал требования остановки должны быть работоспособны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44. Аварийные выходы и устройства приведения их в действие, приборы внутреннего освещения салона, привод управления дверями и сигнализация их работы должны быть работоспособны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45. Транспортное средство должно быть укомплектовано звуковым сигнальным прибором в рабочем состоянии. Звуковой сигнальный прибор должен при приведении в действие органа его управления издавать непрерывный и монотонный звук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46. Аварийные выходы должны быть обозначены и иметь таблички, содержащие правила их использования. Должен быть обеспечен свободный доступ к аварийным выходам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47. Задние и боковые защитные устройства должны соответствовать </w:t>
            </w:r>
            <w:r>
              <w:lastRenderedPageBreak/>
              <w:t xml:space="preserve">требованиям </w:t>
            </w:r>
            <w:hyperlink r:id="rId59" w:history="1">
              <w:r>
                <w:rPr>
                  <w:color w:val="0000FF"/>
                </w:rPr>
                <w:t>пункта 8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>48. Замок седельно-сцепного устройства седельных автомобилей-тягачей должен после сцепки закрываться автоматически. Ручная и автоматическая блокировки седельно-сцепного устройства должны предотвращать самопроизвольное расцепление тягача и полуприцепа. Деформации, разрывы, трещины и другие видимые повреждения сцепного шкворня, гнезда шкворня, опорной плиты, тягового крюка, шара тягово-сцепного устройства, трещины, разрушения, в том числе местные, или отсутствие деталей сцепных устройств и их крепления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49. Одноосные прицепы (за исключением роспусков) и прицепы, не оборудованные рабочей тормозной системой, должны быть оборудованы предохранительными приспособлениями (цепями, тросами), которые должны быть работоспособны. Длина предохранительных цепей (тросов) должна предотвращать контакт сцепной петли дышла с дорожной поверхностью и при этом обеспечивать управление прицепом в случае обрыва (поломки) тягово-сцепного устройства. Предохранительные цепи (тросы) не должны крепиться к деталям тягово-сцепного устройства или деталям его крепления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50. Прицепы (за исключением одноосных и роспусков) должны быть оборудованы устройством, поддерживающим сцепную петлю дышла в положении, облегчающем сцепку и расцепку с тяговым автомобилем. Деформации сцепной петли или дышла прицепа, грубо нарушающие их положение относительно продольной центральной плоскости симметрии прицепа, разрывы, трещины и другие видимые повреждения сцепной петли или дышла прицепа не допускаются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51. Продольный люфт в беззазорных тягово-сцепных устройствах с тяговой вилкой для сцепленного с прицепом тягача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52. Тягово-сцепные устройства должны обеспечивать беззазорную сцепку сухарей замкового устройства с шаром. Самопроизвольная расцепка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53. К размерным характеристикам сцепных устройств применяются требования, предусмотренные </w:t>
            </w:r>
            <w:hyperlink r:id="rId60" w:history="1">
              <w:r>
                <w:rPr>
                  <w:color w:val="0000FF"/>
                </w:rPr>
                <w:t>пунктом 6.8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54. Места для сидения в транспортных средствах, конструкция которых предусматривает наличие ремней безопасности, должны быть ими оборудованы в соответствии с требованиями нормативных правовых актов, действовавших на дату выпуска транспортного средства в обращение. Ремни безопасности не должны иметь </w:t>
            </w:r>
            <w:r>
              <w:lastRenderedPageBreak/>
              <w:t>следующих дефектов:</w:t>
            </w:r>
          </w:p>
          <w:p w:rsidR="000518EA" w:rsidRDefault="000518EA">
            <w:pPr>
              <w:pStyle w:val="ConsPlusNormal"/>
            </w:pPr>
            <w:r>
              <w:t>надрыв на лямке, видимый невооруженным глазом;</w:t>
            </w:r>
          </w:p>
          <w:p w:rsidR="000518EA" w:rsidRDefault="000518EA">
            <w:pPr>
              <w:pStyle w:val="ConsPlusNormal"/>
            </w:pPr>
            <w:r>
              <w:t>замок не фиксирует "язык" лямки или не выбрасывает его после нажатия на кнопку замыкающего устройства;</w:t>
            </w:r>
          </w:p>
          <w:p w:rsidR="000518EA" w:rsidRDefault="000518EA">
            <w:pPr>
              <w:pStyle w:val="ConsPlusNormal"/>
            </w:pPr>
            <w:r>
              <w:t>лямка не вытягивается или не втягивается во втягивающее устройство (катушку);</w:t>
            </w:r>
          </w:p>
          <w:p w:rsidR="000518EA" w:rsidRDefault="000518EA">
            <w:pPr>
              <w:pStyle w:val="ConsPlusNormal"/>
            </w:pPr>
            <w:r>
              <w:t>при резком вытягивании лямки ремня не обеспечивается прекращение (блокирование) ее вытягивания из втягивающего устройства (катушки)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>55. Транспортные средства (кроме транспортных средств категорий O, L</w:t>
            </w:r>
            <w:r>
              <w:rPr>
                <w:vertAlign w:val="subscript"/>
              </w:rPr>
              <w:t>1</w:t>
            </w:r>
            <w:r>
              <w:t xml:space="preserve"> - L</w:t>
            </w:r>
            <w:r>
              <w:rPr>
                <w:vertAlign w:val="subscript"/>
              </w:rPr>
              <w:t>4</w:t>
            </w:r>
            <w:r>
              <w:t xml:space="preserve">) должны быть укомплектованы знаком аварийной остановки, а также медицинскими аптечками в соответствии с требованиями </w:t>
            </w:r>
            <w:hyperlink r:id="rId61" w:history="1">
              <w:r>
                <w:rPr>
                  <w:color w:val="0000FF"/>
                </w:rPr>
                <w:t>пунктов 11.1</w:t>
              </w:r>
            </w:hyperlink>
            <w:r>
              <w:t xml:space="preserve"> и </w:t>
            </w:r>
            <w:hyperlink r:id="rId62" w:history="1">
              <w:r>
                <w:rPr>
                  <w:color w:val="0000FF"/>
                </w:rPr>
                <w:t>11.2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56. Транспортные средства должны быть укомплектованы не менее чем 2 противооткатными упорами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57. Транспортные средства должны быть укомплектованы огнетушителями в соответствии с требованиями </w:t>
            </w:r>
            <w:hyperlink r:id="rId63" w:history="1">
              <w:r>
                <w:rPr>
                  <w:color w:val="0000FF"/>
                </w:rPr>
                <w:t>пункта 11.4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58. Поручни в автобусах, запасное колесо, аккумуляторные батареи, сиденья, а также огнетушители и медицинская аптечка на транспортных средствах, оборудованных приспособлениями для их крепления, должны быть надежно закреплены в местах, предусмотренных конструкцией транспортного средства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59. На транспортных средствах, оборудованных механизмами продольной регулировки положения подушки и угла наклона спинки сиденья или механизмом перемещения сиденья (для посадки и высадки пассажиров), указанные механизмы должны быть работоспособны. После прекращения регулирования или пользования эти механизмы должны автоматически блокироваться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60. Транспортные средства технически допустимой максимальной массой свыше 7,5 тонны должны быть оборудованы надколесными грязезащитными устройствами. Ширина этих устройств должна быть не менее ширины применяемых шин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61. Вертикальная статическая нагрузка на тяговое устройство автомобиля от цепной петли одноосного прицепа (прицепа-роспуска) в снаряженном состоянии должна соответствовать требованиям </w:t>
            </w:r>
            <w:hyperlink r:id="rId64" w:history="1">
              <w:r>
                <w:rPr>
                  <w:color w:val="0000FF"/>
                </w:rPr>
                <w:t>пункта 2.3</w:t>
              </w:r>
            </w:hyperlink>
            <w:r>
              <w:t xml:space="preserve"> приложения N 5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62. Держатель запасного колеса, лебедка и механизм подъема-опускания запасного колеса должны быть работоспособны. Храповое устройство лебедки должно четко фиксировать барабан с </w:t>
            </w:r>
            <w:r>
              <w:lastRenderedPageBreak/>
              <w:t>крепежным канатом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>63. Механизмы подъема и опускания опор и фиксаторы транспортного положения опор, предназначенные для предотвращения их самопроизвольного опускания при движении транспортного средства, должны быть работоспособны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64. Каплепадение масел и рабочих жидкостей из двигателя, коробки передач, бортовых редукторов, заднего моста, сцепления, аккумуляторной батареи, систем охлаждения и кондиционирования воздуха и дополнительно устанавливаемых на транспортных средствах гидравлических устройств не допускается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65. На каждом транспортном средстве категорий M и N должны быть предусмотрены места установки одного переднего и одного заднего государственного регистрационного знака.</w:t>
            </w:r>
          </w:p>
          <w:p w:rsidR="000518EA" w:rsidRDefault="000518EA">
            <w:pPr>
              <w:pStyle w:val="ConsPlusNormal"/>
            </w:pPr>
            <w:r>
              <w:t>На транспортных средствах категорий L и O должны быть предусмотрены места установки одного заднего государственного регистрационного знака. Место для установки государственного регистрационного знака должно представлять собой плоскую вертикальную поверхность и располагаться таким образом, чтобы исключалось загораживание государственного регистрационного знака элементами конструкции транспортного средства. При этом государственные регистрационные знаки не должны уменьшать углы переднего и заднего свесов транспортного средства, закрывать внешние световые и светосигнальные приборы, выступать за боковой габарит транспортного средства.</w:t>
            </w:r>
          </w:p>
          <w:p w:rsidR="000518EA" w:rsidRDefault="000518EA">
            <w:pPr>
              <w:pStyle w:val="ConsPlusNormal"/>
            </w:pPr>
            <w:r>
              <w:t>Государственный регистрационный знак должен устанавливаться по оси симметрии транспортного средства или слева от нее по направлению движения транспортного средства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66. На транспортных средствах, оснащенных устройствами или системами вызова экстренных оперативных служб, такие устройства или системы должны быть работоспособны и соответствовать требованиям </w:t>
            </w:r>
            <w:hyperlink r:id="rId65" w:history="1">
              <w:r>
                <w:rPr>
                  <w:color w:val="0000FF"/>
                </w:rPr>
                <w:t>пункта 118</w:t>
              </w:r>
            </w:hyperlink>
            <w:r>
              <w:t xml:space="preserve"> приложения N 10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67. Изменения в конструкции транспортного средства, внесенные в нарушение требований, установленных </w:t>
            </w:r>
            <w:hyperlink r:id="rId66" w:history="1">
              <w:r>
                <w:rPr>
                  <w:color w:val="0000FF"/>
                </w:rPr>
                <w:t>разделом 4 главы V</w:t>
              </w:r>
            </w:hyperlink>
            <w:r>
              <w:t xml:space="preserve"> ТР ТС 018/2011, не допускаются </w:t>
            </w:r>
            <w:hyperlink w:anchor="Par960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>68. Транспортные средства категорий M</w:t>
            </w:r>
            <w:r>
              <w:rPr>
                <w:vertAlign w:val="subscript"/>
              </w:rPr>
              <w:t>2</w:t>
            </w:r>
            <w:r>
              <w:t xml:space="preserve"> и M</w:t>
            </w:r>
            <w:r>
              <w:rPr>
                <w:vertAlign w:val="subscript"/>
              </w:rPr>
              <w:t>3</w:t>
            </w:r>
            <w:r>
              <w:t xml:space="preserve"> должны отвечать дополнительным требованиям, установленным в </w:t>
            </w:r>
            <w:hyperlink r:id="rId67" w:history="1">
              <w:r>
                <w:rPr>
                  <w:color w:val="0000FF"/>
                </w:rPr>
                <w:t>разделе 13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69. Специальные транспортные средства оперативных служб должны отвечать дополнительным требованиям, установленным в </w:t>
            </w:r>
            <w:hyperlink r:id="rId68" w:history="1">
              <w:r>
                <w:rPr>
                  <w:color w:val="0000FF"/>
                </w:rPr>
                <w:t>разделе 14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 xml:space="preserve">70. Специализированные транспортные средства должны отвечать дополнительным требованиям, установленным </w:t>
            </w:r>
            <w:hyperlink r:id="rId69" w:history="1">
              <w:r>
                <w:rPr>
                  <w:color w:val="0000FF"/>
                </w:rPr>
                <w:t>пунктами 15.1</w:t>
              </w:r>
            </w:hyperlink>
            <w:r>
              <w:t xml:space="preserve"> - </w:t>
            </w:r>
            <w:hyperlink r:id="rId70" w:history="1">
              <w:r>
                <w:rPr>
                  <w:color w:val="0000FF"/>
                </w:rPr>
                <w:t>15.4</w:t>
              </w:r>
            </w:hyperlink>
            <w:r>
              <w:t xml:space="preserve">, </w:t>
            </w:r>
            <w:hyperlink r:id="rId71" w:history="1">
              <w:r>
                <w:rPr>
                  <w:color w:val="0000FF"/>
                </w:rPr>
                <w:t>15.6</w:t>
              </w:r>
            </w:hyperlink>
            <w:r>
              <w:t xml:space="preserve"> - </w:t>
            </w:r>
            <w:hyperlink r:id="rId72" w:history="1">
              <w:r>
                <w:rPr>
                  <w:color w:val="0000FF"/>
                </w:rPr>
                <w:t>15.8 раздела 15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71. Специальные транспортные средства для коммунального хозяйства и содержания дорог должны отвечать дополнительным требованиям, установленным в </w:t>
            </w:r>
            <w:hyperlink r:id="rId73" w:history="1">
              <w:r>
                <w:rPr>
                  <w:color w:val="0000FF"/>
                </w:rPr>
                <w:t>разделе 16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72. Транспортные средства для перевозки грузов с использованием прицепа-роспуска должны отвечать дополнительным требованиям, установленным в </w:t>
            </w:r>
            <w:hyperlink r:id="rId74" w:history="1">
              <w:r>
                <w:rPr>
                  <w:color w:val="0000FF"/>
                </w:rPr>
                <w:t>разделе 17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73. Автоэвакуаторы должны отвечать дополнительным требованиям, установленным в </w:t>
            </w:r>
            <w:hyperlink r:id="rId75" w:history="1">
              <w:r>
                <w:rPr>
                  <w:color w:val="0000FF"/>
                </w:rPr>
                <w:t>разделе 18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74. Транспортные средства с грузоподъемными устройствами должны отвечать дополнительным требованиям, установленным в </w:t>
            </w:r>
            <w:hyperlink r:id="rId76" w:history="1">
              <w:r>
                <w:rPr>
                  <w:color w:val="0000FF"/>
                </w:rPr>
                <w:t>разделе 19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75. Транспортные средства для перевозки опасных грузов должны отвечать дополнительным требованиям, установленным в </w:t>
            </w:r>
            <w:hyperlink r:id="rId77" w:history="1">
              <w:r>
                <w:rPr>
                  <w:color w:val="0000FF"/>
                </w:rPr>
                <w:t>разделе 20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76. Транспортные средства - цистерны должны отвечать дополнительным требованиям, установленным в </w:t>
            </w:r>
            <w:hyperlink r:id="rId78" w:history="1">
              <w:r>
                <w:rPr>
                  <w:color w:val="0000FF"/>
                </w:rPr>
                <w:t>разделе 21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77. Транспортные средства - цистерны для перевозки и заправки нефтепродуктов должны отвечать дополнительным требованиям, установленным в </w:t>
            </w:r>
            <w:hyperlink r:id="rId79" w:history="1">
              <w:r>
                <w:rPr>
                  <w:color w:val="0000FF"/>
                </w:rPr>
                <w:t>разделе 22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78. Транспортные средства - цистерны для перевозки и заправки сжиженных углеводородных газов должны отвечать дополнительным требованиям, установленным в </w:t>
            </w:r>
            <w:hyperlink r:id="rId80" w:history="1">
              <w:r>
                <w:rPr>
                  <w:color w:val="0000FF"/>
                </w:rPr>
                <w:t>разделе 23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79. Транспортные средства - фургоны должны отвечать дополнительным требованиям, установленным в </w:t>
            </w:r>
            <w:hyperlink r:id="rId81" w:history="1">
              <w:r>
                <w:rPr>
                  <w:color w:val="0000FF"/>
                </w:rPr>
                <w:t>разделе 24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80. Транспортные средства - фургоны, имеющие места для перевозки людей, должны отвечать дополнительным требованиям, установленным в </w:t>
            </w:r>
            <w:hyperlink r:id="rId82" w:history="1">
              <w:r>
                <w:rPr>
                  <w:color w:val="0000FF"/>
                </w:rPr>
                <w:t>разделе 25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t xml:space="preserve">81. Транспортные средства для перевозки пищевых продуктов должны отвечать дополнительным требованиям, установленным в </w:t>
            </w:r>
            <w:hyperlink r:id="rId83" w:history="1">
              <w:r>
                <w:rPr>
                  <w:color w:val="0000FF"/>
                </w:rPr>
                <w:t>разделе 26</w:t>
              </w:r>
            </w:hyperlink>
            <w:r>
              <w:t xml:space="preserve"> приложения N 8 к ТР ТС 018/2011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5329" w:type="dxa"/>
          </w:tcPr>
          <w:p w:rsidR="000518EA" w:rsidRDefault="000518EA">
            <w:pPr>
              <w:pStyle w:val="ConsPlusNormal"/>
            </w:pPr>
            <w:r>
              <w:lastRenderedPageBreak/>
              <w:t xml:space="preserve">82. Транспортное средство должно быть оснащено тахографом или контрольным устройством регистрации режима труда и отдыха водителей транспортных средств, предусмотренным Европейским </w:t>
            </w:r>
            <w:hyperlink r:id="rId84" w:history="1">
              <w:r>
                <w:rPr>
                  <w:color w:val="0000FF"/>
                </w:rPr>
                <w:t>соглашением</w:t>
              </w:r>
            </w:hyperlink>
            <w:r>
              <w:t xml:space="preserve">, касающимся работы экипажей транспортных средств, производящих международные автомобильные перевозки (ЕСТР) </w:t>
            </w:r>
            <w:hyperlink w:anchor="Par961" w:history="1">
              <w:r>
                <w:rPr>
                  <w:color w:val="0000FF"/>
                </w:rPr>
                <w:t>&lt;4&gt;</w:t>
              </w:r>
            </w:hyperlink>
            <w:r>
              <w:t xml:space="preserve"> (далее - контрольное устройство (тахограф).</w:t>
            </w:r>
          </w:p>
          <w:p w:rsidR="000518EA" w:rsidRDefault="000518EA">
            <w:pPr>
              <w:pStyle w:val="ConsPlusNormal"/>
            </w:pPr>
            <w:r>
              <w:t>Тахограф должен иметь настройку, проведенную не позднее 3 лет до дня представления транспортного средства на очередной технический осмотр, выводить на печать информацию о регистрационных данных транспортного средства (идентификационный номер, государственный регистрационный номер (при их наличии), номере активизированного в составе этого тахографа программно-аппаратного шифровального (криптографического) средства, текущей дате и времени. Сведения о результатах поверки тахографа, подтверждающие его пригодность для применения, содержатся в Федеральном информационном фонде по обеспечению единства измерений.</w:t>
            </w:r>
          </w:p>
          <w:p w:rsidR="000518EA" w:rsidRDefault="000518EA">
            <w:pPr>
              <w:pStyle w:val="ConsPlusNormal"/>
            </w:pPr>
            <w:r>
              <w:t xml:space="preserve">Контрольное устройство (тахограф) должно быть проверено, в том числе откалибровано, в соответствии с требованиями Европейского </w:t>
            </w:r>
            <w:hyperlink r:id="rId85" w:history="1">
              <w:r>
                <w:rPr>
                  <w:color w:val="0000FF"/>
                </w:rPr>
                <w:t>соглашения</w:t>
              </w:r>
            </w:hyperlink>
            <w:r>
              <w:t>, касающегося работы экипажей транспортных средств, производящих международные автомобильные перевозки (ЕСТР), не позднее 2 лет до дня представления транспортного средства на очередной технический осмотр, а также иметь знак официального утверждения типа. На транспортном средстве, оснащенном контрольным устройством (тахографом) (либо на самом контрольном устройстве (тахографе), должна быть размещена установочная табличка с информацией о характеристическом коэффициенте транспортного средства и дате его определения, об эффективной окружности шин колес и о дате их измерения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26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1" w:type="dxa"/>
          </w:tcPr>
          <w:p w:rsidR="000518EA" w:rsidRDefault="000518EA">
            <w:pPr>
              <w:pStyle w:val="ConsPlusNormal"/>
              <w:jc w:val="center"/>
            </w:pPr>
            <w:r>
              <w:t>-</w:t>
            </w:r>
          </w:p>
        </w:tc>
      </w:tr>
      <w:tr w:rsidR="000518EA">
        <w:tc>
          <w:tcPr>
            <w:tcW w:w="13668" w:type="dxa"/>
            <w:gridSpan w:val="10"/>
            <w:tcBorders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 xml:space="preserve">(в ред. </w:t>
            </w:r>
            <w:hyperlink r:id="rId8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30.01.2021 N 89)</w:t>
            </w:r>
          </w:p>
        </w:tc>
      </w:tr>
    </w:tbl>
    <w:p w:rsidR="000518EA" w:rsidRDefault="000518EA">
      <w:pPr>
        <w:pStyle w:val="ConsPlusNormal"/>
        <w:sectPr w:rsidR="000518EA">
          <w:pgSz w:w="16838" w:h="11906" w:orient="landscape"/>
          <w:pgMar w:top="1701" w:right="1134" w:bottom="850" w:left="1134" w:header="0" w:footer="0" w:gutter="0"/>
          <w:cols w:space="720"/>
          <w:noEndnote/>
        </w:sectPr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>--------------------------------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6" w:name="Par958"/>
      <w:bookmarkEnd w:id="6"/>
      <w:r>
        <w:t xml:space="preserve">&lt;1&gt; Категории транспортных средств соответствуют классификации, установленной в </w:t>
      </w:r>
      <w:hyperlink r:id="rId87" w:history="1">
        <w:r>
          <w:rPr>
            <w:color w:val="0000FF"/>
          </w:rPr>
          <w:t>подпункте 1.1</w:t>
        </w:r>
      </w:hyperlink>
      <w:r>
        <w:t xml:space="preserve"> приложения N 1 к ТР ТС 018/2011.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7" w:name="Par959"/>
      <w:bookmarkEnd w:id="7"/>
      <w:r>
        <w:t xml:space="preserve">&lt;2&gt; Требование, предусмотренное настоящим пунктом, не препятствует установке световых приборов в целях устранения несоответствия другим требованиям к внешним световым приборам. На транспортных средствах, снятых с производства, допускается замена внешних световых приборов на такие приборы, используемые на транспортных средствах других типов, при условии соблюдения требований </w:t>
      </w:r>
      <w:hyperlink r:id="rId88" w:history="1">
        <w:r>
          <w:rPr>
            <w:color w:val="0000FF"/>
          </w:rPr>
          <w:t>ТР ТС 018/2011</w:t>
        </w:r>
      </w:hyperlink>
      <w:r>
        <w:t>.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8" w:name="Par960"/>
      <w:bookmarkEnd w:id="8"/>
      <w:r>
        <w:t xml:space="preserve">&lt;3&gt; Внесение изменений в конструкцию транспортного средства подтверждается разрешением на внесение изменений в конструкцию находящегося в эксплуатации колесного транспортного средства и протоколом проверки безопасности конструкции транспортного средства после внесенных в нее изменений в соответствии с </w:t>
      </w:r>
      <w:hyperlink r:id="rId8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6 апреля 2019 г. N 413 "Об утверждении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"О безопасности колесных транспортных средств" или наличием соответствующей записи в свидетельстве о регистрации транспортного средства.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9" w:name="Par961"/>
      <w:bookmarkEnd w:id="9"/>
      <w:r>
        <w:t xml:space="preserve">&lt;4&gt; В случае если транспортное средство подлежит оснащению тахографом в соответствии с требованием законодательства Российской Федерации или контрольным устройством (тахографом) в соответствии с требованиями законодательства Российской Федерации и требованиями Европейского </w:t>
      </w:r>
      <w:hyperlink r:id="rId90" w:history="1">
        <w:r>
          <w:rPr>
            <w:color w:val="0000FF"/>
          </w:rPr>
          <w:t>соглашения</w:t>
        </w:r>
      </w:hyperlink>
      <w:r>
        <w:t>, касающегося работы экипажей транспортных средств, производящих международные автомобильные перевозки (ЕСТР).</w:t>
      </w:r>
    </w:p>
    <w:p w:rsidR="000518EA" w:rsidRDefault="000518EA">
      <w:pPr>
        <w:pStyle w:val="ConsPlusNormal"/>
        <w:jc w:val="both"/>
      </w:pPr>
      <w:r>
        <w:t xml:space="preserve">(сноска в ред. </w:t>
      </w:r>
      <w:hyperlink r:id="rId91" w:history="1">
        <w:r>
          <w:rPr>
            <w:color w:val="0000FF"/>
          </w:rPr>
          <w:t>Постановления</w:t>
        </w:r>
      </w:hyperlink>
      <w:r>
        <w:t xml:space="preserve"> Правительства РФ от 30.01.2021 N 89)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>Примечание. Символ "X" означает, что требование применяется к транспортному средству соответствующей категории.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Символ "-" означает, что требование не применяется к транспортному средству соответствующей категории.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right"/>
        <w:outlineLvl w:val="1"/>
      </w:pPr>
      <w:r>
        <w:t>Приложение N 2</w:t>
      </w:r>
    </w:p>
    <w:p w:rsidR="000518EA" w:rsidRDefault="000518EA">
      <w:pPr>
        <w:pStyle w:val="ConsPlusNormal"/>
        <w:jc w:val="right"/>
      </w:pPr>
      <w:r>
        <w:t>к Правилам проведения технического</w:t>
      </w:r>
    </w:p>
    <w:p w:rsidR="000518EA" w:rsidRDefault="000518EA">
      <w:pPr>
        <w:pStyle w:val="ConsPlusNormal"/>
        <w:jc w:val="right"/>
      </w:pPr>
      <w:r>
        <w:t>осмотра транспортных средств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rPr>
          <w:b/>
          <w:bCs/>
        </w:rPr>
      </w:pPr>
      <w:bookmarkStart w:id="10" w:name="Par975"/>
      <w:bookmarkEnd w:id="10"/>
      <w:r>
        <w:rPr>
          <w:b/>
          <w:bCs/>
        </w:rPr>
        <w:t>ПРОДОЛЖИТЕЛЬНОСТЬ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ТЕХНИЧЕСКОГО ДИАГНОСТИРОВАНИЯ ТРАНСПОРТНЫХ СРЕДСТВ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ОТДЕЛЬНЫХ КАТЕГОРИЙ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sectPr w:rsidR="000518EA">
          <w:pgSz w:w="11906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4819"/>
        <w:gridCol w:w="3175"/>
        <w:gridCol w:w="1474"/>
      </w:tblGrid>
      <w:tr w:rsidR="000518EA">
        <w:tc>
          <w:tcPr>
            <w:tcW w:w="538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Тип транспортного средства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 xml:space="preserve">Категория транспортных средств (или категория транспортного средства, на базе которого изготовлено специальное транспортное средство) </w:t>
            </w:r>
            <w:hyperlink w:anchor="Par1116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 xml:space="preserve">Продолжительность технического диагностирования </w:t>
            </w:r>
            <w:hyperlink w:anchor="Par1117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0518EA">
        <w:tc>
          <w:tcPr>
            <w:tcW w:w="562" w:type="dxa"/>
            <w:tcBorders>
              <w:top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Транспортные средства, используемые для перевозки пассажиров и имеющие, помимо места водителя, не более 8 мест для сидения - легковые автомобили</w:t>
            </w:r>
          </w:p>
        </w:tc>
        <w:tc>
          <w:tcPr>
            <w:tcW w:w="3175" w:type="dxa"/>
            <w:tcBorders>
              <w:top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30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средства, используемые для перевозки пассажиров, имеющие, помимо места водителя, более 8 мест для сидения, технически допустимая максимальная масса которых не превышает 5 тонн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59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средства, используемые для перевозки пассажиров, имеющие, помимо места водителя, более 8 мест для сидения, технически допустимая максимальная масса которых превышает 5 тонн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3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72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средства, предназначенные для перевозки грузов, имеющие технически допустимую максимальную массу не более 3,5 тонны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1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32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средства, предназначенные для перевозки грузов, имеющие технически допустимую максимальную массу свыше 3,5 тонны, но не более 12 тонн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63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средства, предназначенные для перевозки грузов, имеющие технически допустимую максимальную массу более 12 тонн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3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68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Прицепы, технически допустимая максимальная масса которых не более 0,75 тонны, и прицепы, технически допустимая максимальная масса которых свыше 0,75 тонны, но не более 3,5 тонны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1</w:t>
            </w:r>
            <w:r>
              <w:t>, O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25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Прицепы, технически допустимая максимальная масса которых свыше 3,5 тонны, но не более 10 тонн, и прицепы, технически допустимая максимальная масса которых более 10 тонн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3</w:t>
            </w:r>
            <w:r>
              <w:t>, O</w:t>
            </w:r>
            <w:r>
              <w:rPr>
                <w:vertAlign w:val="subscript"/>
              </w:rPr>
              <w:t>4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44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Мототранспортные средства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10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1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32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59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M</w:t>
            </w:r>
            <w:r>
              <w:rPr>
                <w:vertAlign w:val="subscript"/>
              </w:rPr>
              <w:t>3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68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13.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служб, цистерны, цистерны для перевозки и заправки сжиженных углеводородных газов, фургоны, фургоны, имеющие места для перевозки людей, автоэвакуаторы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1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34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служб, автоэвакуаторы, транспортные средства с грузоподъемными устройствами, цистерны, цистерны для перевозки и заправки сжиженных углеводородных газов, фургоны, транспортные средства для перевозки пищевых 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66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служб, автоэвакуаторы, транспортные средства с грузоподъемными устройствами, цистерны, цистерны для перевозки и заправки сжиженных углеводородных газов, фургоны, транспортные средства для перевозки пищевых 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3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71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служб, цистерны, цистерны для перевозки и заправки сжиженных углеводородных газов, транспортные средства для перевозки пищевых 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1</w:t>
            </w:r>
            <w:r>
              <w:t>, O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26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служб, автоэвакуаторы, транспортные средства с грузоподъемными устройствами, цистерны, цистерны для перевозки и заправки сжиженных углеводородных газов, фургоны, транспортные средства для перевозки пищевых 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3</w:t>
            </w:r>
            <w:r>
              <w:t>, O</w:t>
            </w:r>
            <w:r>
              <w:rPr>
                <w:vertAlign w:val="subscript"/>
              </w:rPr>
              <w:t>4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46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оперативных служб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11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Специализированные транспортные средства, цистерны для перевозки и заправки нефтепродуктов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1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37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Специализированные транспортные средства, цистерны для перевозки и заправки нефтепродуктов, транспортные средства - фургоны, имеющие места для перевозки людей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72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Специализированные транспортные средства, фургоны, имеющие места для перевозки людей, цистерны для перевозки и заправки нефтепродуктов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3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78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Специализированные транспортные средства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1</w:t>
            </w:r>
            <w:r>
              <w:t>, O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29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Специализированные транспортные средства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3</w:t>
            </w:r>
            <w:r>
              <w:t>, O</w:t>
            </w:r>
            <w:r>
              <w:rPr>
                <w:vertAlign w:val="subscript"/>
              </w:rPr>
              <w:t>4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51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для коммунального хозяйства и содержания дорог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1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35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25.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для коммунального хозяйства и содержания дорог, транспортные средства для перевозки грузов с использованием прицепа-роспуска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69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для коммунального хозяйства и содержания дорог, транспортные средства для перевозки грузов с использованием прицепа-роспуска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3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75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для коммунального хозяйства и содержания дорог, транспортные средства - цистерны для перевозки и заправки нефтепродуктов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1</w:t>
            </w:r>
            <w:r>
              <w:t>, O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28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Специальные транспортные средства для коммунального хозяйства и содержания дорог, транспортные средства - цистерны для перевозки и заправки нефтепродуктов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3</w:t>
            </w:r>
            <w:r>
              <w:t>, O</w:t>
            </w:r>
            <w:r>
              <w:rPr>
                <w:vertAlign w:val="subscript"/>
              </w:rPr>
              <w:t>4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48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 для перевозки опасных грузов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1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42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 для перевозки опасных грузов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82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 для перевозки опасных грузов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  <w:r>
              <w:rPr>
                <w:vertAlign w:val="subscript"/>
              </w:rPr>
              <w:t>3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88</w:t>
            </w:r>
          </w:p>
        </w:tc>
      </w:tr>
      <w:tr w:rsidR="000518EA">
        <w:tc>
          <w:tcPr>
            <w:tcW w:w="562" w:type="dxa"/>
          </w:tcPr>
          <w:p w:rsidR="000518EA" w:rsidRDefault="000518EA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4819" w:type="dxa"/>
          </w:tcPr>
          <w:p w:rsidR="000518EA" w:rsidRDefault="000518EA">
            <w:pPr>
              <w:pStyle w:val="ConsPlusNormal"/>
            </w:pPr>
            <w:r>
              <w:t>Транспортные средства для перевозки опасных грузов</w:t>
            </w:r>
          </w:p>
        </w:tc>
        <w:tc>
          <w:tcPr>
            <w:tcW w:w="3175" w:type="dxa"/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1</w:t>
            </w:r>
            <w:r>
              <w:t>, O</w:t>
            </w:r>
            <w:r>
              <w:rPr>
                <w:vertAlign w:val="subscript"/>
              </w:rPr>
              <w:t>2</w:t>
            </w:r>
          </w:p>
        </w:tc>
        <w:tc>
          <w:tcPr>
            <w:tcW w:w="1474" w:type="dxa"/>
          </w:tcPr>
          <w:p w:rsidR="000518EA" w:rsidRDefault="000518EA">
            <w:pPr>
              <w:pStyle w:val="ConsPlusNormal"/>
              <w:jc w:val="center"/>
            </w:pPr>
            <w:r>
              <w:t>30</w:t>
            </w:r>
          </w:p>
        </w:tc>
      </w:tr>
      <w:tr w:rsidR="000518EA">
        <w:tc>
          <w:tcPr>
            <w:tcW w:w="562" w:type="dxa"/>
            <w:tcBorders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Транспортные средства для перевозки опасных грузов</w:t>
            </w:r>
          </w:p>
        </w:tc>
        <w:tc>
          <w:tcPr>
            <w:tcW w:w="3175" w:type="dxa"/>
            <w:tcBorders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O</w:t>
            </w:r>
            <w:r>
              <w:rPr>
                <w:vertAlign w:val="subscript"/>
              </w:rPr>
              <w:t>3</w:t>
            </w:r>
            <w:r>
              <w:t>, O</w:t>
            </w:r>
            <w:r>
              <w:rPr>
                <w:vertAlign w:val="subscript"/>
              </w:rPr>
              <w:t>4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53</w:t>
            </w:r>
          </w:p>
        </w:tc>
      </w:tr>
    </w:tbl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>--------------------------------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11" w:name="Par1116"/>
      <w:bookmarkEnd w:id="11"/>
      <w:r>
        <w:t xml:space="preserve">&lt;1&gt; Категории транспортных средств соответствуют классификации, установленной в </w:t>
      </w:r>
      <w:hyperlink r:id="rId92" w:history="1">
        <w:r>
          <w:rPr>
            <w:color w:val="0000FF"/>
          </w:rPr>
          <w:t>приложении N 1</w:t>
        </w:r>
      </w:hyperlink>
      <w:r>
        <w:t xml:space="preserve"> к техническому регламенту Таможенного союза "О безопасности колесных транспортных средств" (ТР ТС 018/2011).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12" w:name="Par1117"/>
      <w:bookmarkEnd w:id="12"/>
      <w:r>
        <w:t>&lt;2&gt; Продолжительность указана из расчета проведения технического диагностирования транспортного средства одним техническим экспертом и может быть уменьшена с учетом особенностей организации проведения отдельных технологических операций (характеристик диагностического оборудования и используемого программного обеспечения, количества постов диагностики, количества технических экспертов, проводящих техническое диагностирование нескольких транспортных средств одновременно).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right"/>
        <w:outlineLvl w:val="1"/>
      </w:pPr>
      <w:r>
        <w:t>Приложение N 3</w:t>
      </w:r>
    </w:p>
    <w:p w:rsidR="000518EA" w:rsidRDefault="000518EA">
      <w:pPr>
        <w:pStyle w:val="ConsPlusNormal"/>
        <w:jc w:val="right"/>
      </w:pPr>
      <w:r>
        <w:t>к Правилам проведения технического</w:t>
      </w:r>
    </w:p>
    <w:p w:rsidR="000518EA" w:rsidRDefault="000518EA">
      <w:pPr>
        <w:pStyle w:val="ConsPlusNormal"/>
        <w:jc w:val="right"/>
      </w:pPr>
      <w:r>
        <w:t>осмотра транспортных средств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right"/>
      </w:pPr>
      <w:r>
        <w:t>(форма)</w:t>
      </w:r>
    </w:p>
    <w:p w:rsidR="000518EA" w:rsidRDefault="000518EA">
      <w:pPr>
        <w:pStyle w:val="ConsPlusNormal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На 6 месяцев, но не менее чем до 01.10.2021, продлевается срок действия диагностических карт, срок действия которых истекает в период с 01.02.2021 по 30.09.2021 (</w:t>
            </w:r>
            <w:hyperlink r:id="rId93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</w:t>
            </w:r>
            <w:r>
              <w:rPr>
                <w:color w:val="392C69"/>
              </w:rPr>
              <w:lastRenderedPageBreak/>
              <w:t>Правительства РФ от 03.04.2020 N 440).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spacing w:before="200"/>
        <w:jc w:val="center"/>
      </w:pPr>
      <w:bookmarkStart w:id="13" w:name="Par1131"/>
      <w:bookmarkEnd w:id="13"/>
      <w:r>
        <w:lastRenderedPageBreak/>
        <w:t>ДИАГНОСТИЧЕСКАЯ КАРТА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</w:pPr>
      <w:r>
        <w:t>Certificate of periodic technical inspection</w:t>
      </w:r>
    </w:p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907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053"/>
      </w:tblGrid>
      <w:tr w:rsidR="000518EA">
        <w:tc>
          <w:tcPr>
            <w:tcW w:w="6347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Регистрационный номер</w:t>
            </w:r>
          </w:p>
        </w:tc>
        <w:tc>
          <w:tcPr>
            <w:tcW w:w="511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Срок действия до</w:t>
            </w:r>
          </w:p>
        </w:tc>
      </w:tr>
      <w:tr w:rsidR="000518EA"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053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6347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113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81"/>
        <w:gridCol w:w="899"/>
        <w:gridCol w:w="340"/>
        <w:gridCol w:w="3830"/>
        <w:gridCol w:w="3252"/>
        <w:gridCol w:w="340"/>
        <w:gridCol w:w="1103"/>
      </w:tblGrid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Оператор технического осмотра:</w:t>
            </w:r>
          </w:p>
        </w:tc>
      </w:tr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Пункт технического осмотра (передвижная диагностическая линия):</w:t>
            </w:r>
          </w:p>
        </w:tc>
      </w:tr>
      <w:tr w:rsidR="000518EA"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Первичная проверка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Повторная проверка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6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Регистрационный знак ТС:</w:t>
            </w:r>
          </w:p>
        </w:tc>
        <w:tc>
          <w:tcPr>
            <w:tcW w:w="46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Марка, модель ТС:</w:t>
            </w:r>
          </w:p>
        </w:tc>
      </w:tr>
      <w:tr w:rsidR="000518EA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VIN</w:t>
            </w:r>
          </w:p>
        </w:tc>
        <w:tc>
          <w:tcPr>
            <w:tcW w:w="5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Номер рамы</w:t>
            </w:r>
          </w:p>
        </w:tc>
        <w:tc>
          <w:tcPr>
            <w:tcW w:w="5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Категория ТС:</w:t>
            </w:r>
          </w:p>
        </w:tc>
      </w:tr>
      <w:tr w:rsidR="000518EA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Номер кузова</w:t>
            </w:r>
          </w:p>
        </w:tc>
        <w:tc>
          <w:tcPr>
            <w:tcW w:w="5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Год выпуска ТС:</w:t>
            </w:r>
          </w:p>
        </w:tc>
      </w:tr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СРТС или ПТС (ЭПТС) (серия, номер, выдан (оформлен) кем, когда):</w:t>
            </w:r>
          </w:p>
        </w:tc>
      </w:tr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Тахограф или контрольное устройство (тахограф) (марка, модель, серийный номер):</w:t>
            </w: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1"/>
        <w:gridCol w:w="2902"/>
        <w:gridCol w:w="340"/>
        <w:gridCol w:w="476"/>
        <w:gridCol w:w="3164"/>
        <w:gridCol w:w="340"/>
        <w:gridCol w:w="461"/>
        <w:gridCol w:w="3015"/>
        <w:gridCol w:w="340"/>
      </w:tblGrid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Обязательные требования безопасности, предъявляемые к транспортным средствам при проведении технического осмотра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Обязательные требования безопасности, предъявляемые к транспортным средствам при проведении технического осмотра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Обязательные требования безопасности, предъявляемые к транспортным средствам при проведении технического осмотра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I. Тормозные системы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и расположение фар и сигнальных фонарей в местах, предусмотренных конструкцией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запоров бортов грузовой платформы и запоров горловин цистерн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 xml:space="preserve">Соответствие источника света в фарах, формы, цвета и размера фар. Наличие </w:t>
            </w:r>
            <w:r>
              <w:lastRenderedPageBreak/>
              <w:t>светоотражающей контурной маркировки, отсутствие ее повреждения и отслоения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показателей эффективности торможения и устойчивости торможения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IV. Стеклоочистители и стеклоомыватели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аварийного выключателя дверей и сигнала требования остановки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разности тормозных сил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и работоспособность предусмотренных изготовителем транспортного средства стеклоочистителей и стеклоомывателей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аварийных выходов, приборов внутреннего освещения салона, привода управления дверями и сигнализации их работы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рабочей тормозной системы автопоездов с пневматическим тормозным приводом в режиме аварийного (автоматического) торможения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Обеспечение стеклоомывателем подачи жидкости в зоны очистки стекла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работоспособного звукового сигнального прибора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утечек сжатого воздуха из колесных тормозных камер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обозначений аварийных выходов и табличек по правилам их использования. Обеспечение свободного доступа к аварийным выходам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подтеканий тормозной жидкости, нарушения герметичности трубопроводов или соединений в гидравлическом тормозном приводе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V. Шины и колеса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задних и боковых защитных устройств, соответствие их нормам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коррозии, грозящей потерей герметичности или разрушением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остаточной глубины рисунка протектора шин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автоматического замка, ручной и автоматической блокировки седельно-сцепного устройства. Отсутствие видимых повреждений сцепных устройств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механических повреждений тормозных трубопроводов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признаков непригодности шин к эксплуатации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работоспособных предохранительных приспособлений у одноосных прицепов (за исключением роспусков) и прицепов, не оборудованных рабочей тормозной системой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трещин остаточной деформации деталей тормозного привода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всех болтов или гаек крепления дисков и ободьев колес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 xml:space="preserve">Оборудование прицепов (за исключением одноосных и роспусков) исправным устройством, поддерживающим сцепную петлю </w:t>
            </w:r>
            <w:r>
              <w:lastRenderedPageBreak/>
              <w:t>дышла в положении, облегчающем сцепку и расцепку с тяговым автомобилем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Исправность средств сигнализации и контроля тормозных систем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трещин на дисках и ободьях колес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продольного люфта в беззазорных тягово-сцепных устройствах с тяговой вилкой для сцепленного с прицепом тягача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набухания тормозных шлангов под давлением, трещин и видимых мест перетирания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видимых нарушений формы и размеров крепежных отверстий в дисках колес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Обеспечение тягово-сцепными устройствами легковых автомобилей беззазорной сцепки сухарей замкового устройства с шаром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Расположение и длина соединительных шлангов пневматического тормозного привода автопоездов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Установка шин на транспортное средство в соответствии с установленными требованиями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размерных характеристик сцепных устройств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II. Рулевое управление</w:t>
            </w: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VI. Двигатель и его системы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Оснащение транспортных средств исправными ремнями безопасности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усилителя рулевого управления. Плавность изменения усилия при повороте рулевого колеса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содержания загрязняющих веществ в отработавших газах транспортных средств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знака аварийной остановки и медицинской аптечки (медицинских аптечек)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самопроизвольного поворота рулевого колеса с усилителем рулевого управления от нейтрального положения при работающем двигателе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подтекания и каплепадения топлива в системе питания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не менее 2 противооткатных упоров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превышения предельных значений суммарного люфта в рулевом управлении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запорных устройств и устройств перекрытия топлива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огнетушителей, соответствующих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повреждения и полная комплектность деталей крепления рулевой колонки и картера рулевого механизма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системы питания газобаллонных транспортных средств, ее размещения и установки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Надежное крепление поручней в автобусах, запасного колеса, аккумуляторной батареи, сидений, огнетушителей и медицинской аптечки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 xml:space="preserve">Отсутствие следов остаточной деформации, трещин и других дефектов в рулевом механизме и рулевом приводе. Наличие и работоспособность предусмотренного изготовителем </w:t>
            </w:r>
            <w:r>
              <w:lastRenderedPageBreak/>
              <w:t>транспортного средства рулевого демпфера и (или) усилителя рулевого управления. Отсутствие подтекания рабочей жидкости в гидросистеме усилителя рулевого управления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нормам уровня шума выпускной системы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механизмов регулировки сидений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17.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устройств, ограничивающих поворот рулевого колеса, не предусмотренных конструкцией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VII. Прочие элементы конструкции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надколесных грязезащитных устройств, отвечающих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III. Внешние световые приборы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зеркал заднего вида в соответствии с установленными требованиями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вертикальной статической нагрузки на тяговое устройство автомобиля от сцепной петли одноосного прицепа (прицепа-роспуска) установленным нормам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устройств освещения и световой сигнализации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дополнительных предметов или покрытий, ограничивающих обзорность с места водителя. Соответствие полосы пленки в верхней части ветрового стекла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держателя запасного колеса, лебедки и механизма подъема-опускания запасного колеса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рассеивателей внешних световых приборов, отсутствие их разрушения и загрязнения. Отсутствие не предусмотренных конструкцией светового прибора оптических элементов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норме светопропускания ветрового стекла, передних боковых стекол и стекол передних дверей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механизмов подъема и опускания опор и фиксаторов транспортного положения опор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и режим работы сигналов торможения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трещин на ветровом стекле в зоне очистки водительского стеклоочистителя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каплепадения масел и рабочих жидкостей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углов регулировки и силы света фар установленным требованиям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замков дверей кузова, кабины, механизмов регулировки и фиксирующих устройств сидений, устройства обогрева и обдува ветрового стекла, противоугонного устройства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Установка государственных регистрационных знаков в соответствии с установленными требованиями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устройства или системы вызова экстренных оперативных служб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 xml:space="preserve">Отсутствие изменений в конструкции транспортного средства, внесенных в </w:t>
            </w:r>
            <w:r>
              <w:lastRenderedPageBreak/>
              <w:t>нарушение установленных требований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транспортного средства установленным дополнительным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работоспособного тахографа или работоспособного контрольного устройства (тахографа)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01"/>
        <w:gridCol w:w="1134"/>
        <w:gridCol w:w="992"/>
        <w:gridCol w:w="4536"/>
        <w:gridCol w:w="3712"/>
      </w:tblGrid>
      <w:tr w:rsidR="000518EA">
        <w:tc>
          <w:tcPr>
            <w:tcW w:w="11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Результаты диагностирования</w:t>
            </w:r>
          </w:p>
        </w:tc>
      </w:tr>
      <w:tr w:rsidR="000518EA">
        <w:tc>
          <w:tcPr>
            <w:tcW w:w="7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Требования, по которым установлено несоответствие</w:t>
            </w:r>
          </w:p>
        </w:tc>
        <w:tc>
          <w:tcPr>
            <w:tcW w:w="3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Пункт диагностической карты</w:t>
            </w: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Нижняя граница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Результат проверки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Верхняя граница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Наименование требования</w:t>
            </w:r>
          </w:p>
        </w:tc>
        <w:tc>
          <w:tcPr>
            <w:tcW w:w="3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7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Невыполненные требования</w:t>
            </w:r>
          </w:p>
        </w:tc>
        <w:tc>
          <w:tcPr>
            <w:tcW w:w="3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Предмет проверки (узел, деталь, агрегат)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Содержание невыполненного требования (с указанием нормативного источника)</w:t>
            </w:r>
          </w:p>
        </w:tc>
        <w:tc>
          <w:tcPr>
            <w:tcW w:w="3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Примечания:</w:t>
            </w:r>
          </w:p>
        </w:tc>
      </w:tr>
      <w:tr w:rsidR="000518EA">
        <w:tc>
          <w:tcPr>
            <w:tcW w:w="11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3"/>
        <w:gridCol w:w="990"/>
        <w:gridCol w:w="340"/>
        <w:gridCol w:w="2682"/>
        <w:gridCol w:w="340"/>
        <w:gridCol w:w="2700"/>
        <w:gridCol w:w="340"/>
      </w:tblGrid>
      <w:tr w:rsidR="000518EA">
        <w:tc>
          <w:tcPr>
            <w:tcW w:w="114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Данные транспортного средства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Масса без нагрузки:</w:t>
            </w:r>
          </w:p>
        </w:tc>
        <w:tc>
          <w:tcPr>
            <w:tcW w:w="73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Разрешенная максимальная масса: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Тип топлива:</w:t>
            </w:r>
          </w:p>
        </w:tc>
        <w:tc>
          <w:tcPr>
            <w:tcW w:w="73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Пробег ТС: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Тип тормозной системы:</w:t>
            </w:r>
          </w:p>
        </w:tc>
        <w:tc>
          <w:tcPr>
            <w:tcW w:w="73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Марка шин: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Сведения о газовом баллоне (газовых баллонах)</w:t>
            </w:r>
          </w:p>
          <w:p w:rsidR="000518EA" w:rsidRDefault="000518EA">
            <w:pPr>
              <w:pStyle w:val="ConsPlusNormal"/>
            </w:pPr>
            <w:r>
              <w:t>(год выпуска, серийный номер, даты последнего и очередного освидетельствования каждого газового баллона):</w:t>
            </w:r>
          </w:p>
        </w:tc>
        <w:tc>
          <w:tcPr>
            <w:tcW w:w="73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Сведения по газобаллонному оборудованию</w:t>
            </w:r>
          </w:p>
          <w:p w:rsidR="000518EA" w:rsidRDefault="000518EA">
            <w:pPr>
              <w:pStyle w:val="ConsPlusNormal"/>
            </w:pPr>
            <w:r>
              <w:t>(номер свидетельства о проведении периодических испытаний газобаллонного оборудования и дата его очередного освидетельствования):</w:t>
            </w:r>
          </w:p>
        </w:tc>
      </w:tr>
      <w:tr w:rsidR="000518EA">
        <w:tc>
          <w:tcPr>
            <w:tcW w:w="50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Заключение о соответствии или несоответствии транспортного средства обязательным требованиям безопасности транспортных средств (подтверждающее или не подтверждающее его допуск к участию в дорожном движении);</w:t>
            </w:r>
          </w:p>
          <w:p w:rsidR="000518EA" w:rsidRDefault="000518EA">
            <w:pPr>
              <w:pStyle w:val="ConsPlusNormal"/>
            </w:pPr>
            <w:r>
              <w:t>Results of the roadworthiness inspection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682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50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Соответствует</w:t>
            </w:r>
          </w:p>
          <w:p w:rsidR="000518EA" w:rsidRDefault="000518EA">
            <w:pPr>
              <w:pStyle w:val="ConsPlusNormal"/>
              <w:jc w:val="center"/>
            </w:pPr>
            <w:r>
              <w:t>Passed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Не соответствует</w:t>
            </w:r>
          </w:p>
          <w:p w:rsidR="000518EA" w:rsidRDefault="000518EA">
            <w:pPr>
              <w:pStyle w:val="ConsPlusNormal"/>
              <w:jc w:val="center"/>
            </w:pPr>
            <w:r>
              <w:t>Failed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50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682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00"/>
        <w:gridCol w:w="4260"/>
      </w:tblGrid>
      <w:tr w:rsidR="000518EA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Пункты диагностической карты, требующие повторной проверки:</w:t>
            </w:r>
          </w:p>
        </w:tc>
        <w:tc>
          <w:tcPr>
            <w:tcW w:w="4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70"/>
        <w:gridCol w:w="3628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518E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Дата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Повторный технический осмотр провести до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50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lastRenderedPageBreak/>
              <w:t>Ф.И.О. технического эксперта</w:t>
            </w:r>
          </w:p>
        </w:tc>
      </w:tr>
      <w:tr w:rsidR="000518EA">
        <w:tc>
          <w:tcPr>
            <w:tcW w:w="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Подпись</w:t>
            </w:r>
          </w:p>
          <w:p w:rsidR="000518EA" w:rsidRDefault="000518EA">
            <w:pPr>
              <w:pStyle w:val="ConsPlusNormal"/>
              <w:jc w:val="both"/>
            </w:pPr>
            <w:r>
              <w:t>Signature</w:t>
            </w:r>
          </w:p>
        </w:tc>
        <w:tc>
          <w:tcPr>
            <w:tcW w:w="82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 xml:space="preserve">Печать </w:t>
            </w:r>
            <w:hyperlink w:anchor="Par1578" w:history="1">
              <w:r>
                <w:rPr>
                  <w:color w:val="0000FF"/>
                </w:rPr>
                <w:t>&lt;*&gt;</w:t>
              </w:r>
            </w:hyperlink>
          </w:p>
          <w:p w:rsidR="000518EA" w:rsidRDefault="000518EA">
            <w:pPr>
              <w:pStyle w:val="ConsPlusNormal"/>
              <w:jc w:val="both"/>
            </w:pPr>
            <w:r>
              <w:t>Stamp</w:t>
            </w:r>
          </w:p>
        </w:tc>
      </w:tr>
    </w:tbl>
    <w:p w:rsidR="000518EA" w:rsidRDefault="000518EA">
      <w:pPr>
        <w:pStyle w:val="ConsPlusNormal"/>
        <w:sectPr w:rsidR="000518EA">
          <w:pgSz w:w="16838" w:h="11906" w:orient="landscape"/>
          <w:pgMar w:top="1701" w:right="1134" w:bottom="850" w:left="1134" w:header="0" w:footer="0" w:gutter="0"/>
          <w:cols w:space="720"/>
          <w:noEndnote/>
        </w:sectPr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>--------------------------------</w:t>
      </w:r>
    </w:p>
    <w:p w:rsidR="000518EA" w:rsidRDefault="000518EA">
      <w:pPr>
        <w:pStyle w:val="ConsPlusNormal"/>
        <w:spacing w:before="160"/>
        <w:ind w:firstLine="540"/>
        <w:jc w:val="both"/>
      </w:pPr>
      <w:bookmarkStart w:id="14" w:name="Par1578"/>
      <w:bookmarkEnd w:id="14"/>
      <w:r>
        <w:t>&lt;*&gt; Печать оператора технического осмотра проставляется в случае выдачи диагностической карты на бумажном носителе.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right"/>
        <w:outlineLvl w:val="0"/>
      </w:pPr>
      <w:r>
        <w:t>Утверждены</w:t>
      </w:r>
    </w:p>
    <w:p w:rsidR="000518EA" w:rsidRDefault="000518EA">
      <w:pPr>
        <w:pStyle w:val="ConsPlusNormal"/>
        <w:jc w:val="right"/>
      </w:pPr>
      <w:r>
        <w:t>постановлением Правительства</w:t>
      </w:r>
    </w:p>
    <w:p w:rsidR="000518EA" w:rsidRDefault="000518EA">
      <w:pPr>
        <w:pStyle w:val="ConsPlusNormal"/>
        <w:jc w:val="right"/>
      </w:pPr>
      <w:r>
        <w:t>Российской Федерации</w:t>
      </w:r>
    </w:p>
    <w:p w:rsidR="000518EA" w:rsidRDefault="000518EA">
      <w:pPr>
        <w:pStyle w:val="ConsPlusNormal"/>
        <w:jc w:val="right"/>
      </w:pPr>
      <w:r>
        <w:t>от 15 сентября 2020 г. N 1434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  <w:rPr>
          <w:b/>
          <w:bCs/>
        </w:rPr>
      </w:pPr>
      <w:bookmarkStart w:id="15" w:name="Par1589"/>
      <w:bookmarkEnd w:id="15"/>
      <w:r>
        <w:rPr>
          <w:b/>
          <w:bCs/>
        </w:rPr>
        <w:t>ИЗМЕНЕНИЯ,</w:t>
      </w:r>
    </w:p>
    <w:p w:rsidR="000518EA" w:rsidRDefault="000518EA">
      <w:pPr>
        <w:pStyle w:val="ConsPlusNormal"/>
        <w:jc w:val="center"/>
        <w:rPr>
          <w:b/>
          <w:bCs/>
        </w:rPr>
      </w:pPr>
      <w:r>
        <w:rPr>
          <w:b/>
          <w:bCs/>
        </w:rPr>
        <w:t>КОТОРЫЕ ВНОСЯТСЯ В АКТЫ ПРАВИТЕЛЬСТВА РОССИЙСКОЙ ФЕДЕРАЦИИ</w:t>
      </w:r>
    </w:p>
    <w:p w:rsidR="000518EA" w:rsidRDefault="000518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26.10.2020 </w:t>
            </w:r>
            <w:hyperlink r:id="rId94" w:history="1">
              <w:r>
                <w:rPr>
                  <w:color w:val="0000FF"/>
                </w:rPr>
                <w:t>N 1742</w:t>
              </w:r>
            </w:hyperlink>
            <w:r>
              <w:rPr>
                <w:color w:val="392C69"/>
              </w:rPr>
              <w:t>,</w:t>
            </w:r>
          </w:p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30.06.2021 </w:t>
            </w:r>
            <w:hyperlink r:id="rId95" w:history="1">
              <w:r>
                <w:rPr>
                  <w:color w:val="0000FF"/>
                </w:rPr>
                <w:t>N 1101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 xml:space="preserve">1. Утратил силу. - </w:t>
      </w:r>
      <w:hyperlink r:id="rId96" w:history="1">
        <w:r>
          <w:rPr>
            <w:color w:val="0000FF"/>
          </w:rPr>
          <w:t>Постановление</w:t>
        </w:r>
      </w:hyperlink>
      <w:r>
        <w:t xml:space="preserve"> Правительства РФ от 26.10.2020 N 1742.</w:t>
      </w:r>
    </w:p>
    <w:p w:rsidR="000518EA" w:rsidRDefault="000518EA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0518E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П. 2 </w:t>
            </w:r>
            <w:hyperlink w:anchor="Par19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01.03.2021.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8EA" w:rsidRDefault="000518E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518EA" w:rsidRDefault="000518EA">
      <w:pPr>
        <w:pStyle w:val="ConsPlusNormal"/>
        <w:spacing w:before="200"/>
        <w:ind w:firstLine="540"/>
        <w:jc w:val="both"/>
      </w:pPr>
      <w:bookmarkStart w:id="16" w:name="Par1598"/>
      <w:bookmarkEnd w:id="16"/>
      <w:r>
        <w:t xml:space="preserve">2. В </w:t>
      </w:r>
      <w:hyperlink r:id="rId97" w:history="1">
        <w:r>
          <w:rPr>
            <w:color w:val="0000FF"/>
          </w:rPr>
          <w:t>пункте 1</w:t>
        </w:r>
      </w:hyperlink>
      <w:r>
        <w:t xml:space="preserve"> постановления Правительства Российской Федерации от 17 апреля 2013 г. N 348 "О техническом осмотре транспортных средств органов, осуществляющих оперативно-разыскную деятельность" (Собрание законодательства Российской Федерации, 2013, N 16, ст. 1975) слова "Правилами проведения технического осмотра транспортных средств, утвержденными постановлением Правительства Российской Федерации от 5 декабря 2011 г. N 1008" заменить словами "Правилами проведения технического осмотра транспортных средств, утвержденными постановлением Правительства Российской Федерации от 15 сентября 2020 г. N 1434 "Об утверждении Правил проведения технического осмотра транспортных средств, а также о внесении изменений в некоторые акты Правительства Российской Федерации".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3. В </w:t>
      </w:r>
      <w:hyperlink r:id="rId98" w:history="1">
        <w:r>
          <w:rPr>
            <w:color w:val="0000FF"/>
          </w:rPr>
          <w:t>Правилах</w:t>
        </w:r>
      </w:hyperlink>
      <w:r>
        <w:t xml:space="preserve"> организации и проведения технического осмотра автобусов, утвержденных постановлением Правительства Российской Федерации от 23 мая 2020 г. N 741 "Об утверждении Правил организации и проведения технического осмотра автобусов" (Собрание законодательства Российской Федерации, 2020, N 22, ст. 3508):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а) в </w:t>
      </w:r>
      <w:hyperlink r:id="rId99" w:history="1">
        <w:r>
          <w:rPr>
            <w:color w:val="0000FF"/>
          </w:rPr>
          <w:t>пункте 4</w:t>
        </w:r>
      </w:hyperlink>
      <w:r>
        <w:t xml:space="preserve"> слова "Правилами проведения технического осмотра транспортных средств, утвержденными постановлением Правительства Российской Федерации от 5 декабря 2011 г. N 1008 "О проведении технического осмотра транспортных средств" заменить словами "Правилами проведения технического осмотра транспортных средств, утвержденными постановлением Правительства Российской Федерации от 15 сентября 2020 г. N 1434 "Об утверждении Правил проведения технического осмотра транспортных средств, а также о внесении изменений в некоторые акты Правительства Российской Федерации";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 xml:space="preserve">б) </w:t>
      </w:r>
      <w:hyperlink r:id="rId100" w:history="1">
        <w:r>
          <w:rPr>
            <w:color w:val="0000FF"/>
          </w:rPr>
          <w:t>приложение</w:t>
        </w:r>
      </w:hyperlink>
      <w:r>
        <w:t xml:space="preserve"> изложить в следующей редакции: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right"/>
      </w:pPr>
      <w:r>
        <w:t>"Приложение</w:t>
      </w:r>
    </w:p>
    <w:p w:rsidR="000518EA" w:rsidRDefault="000518EA">
      <w:pPr>
        <w:pStyle w:val="ConsPlusNormal"/>
        <w:jc w:val="right"/>
      </w:pPr>
      <w:r>
        <w:t>к Правилам организации и проведения</w:t>
      </w:r>
    </w:p>
    <w:p w:rsidR="000518EA" w:rsidRDefault="000518EA">
      <w:pPr>
        <w:pStyle w:val="ConsPlusNormal"/>
        <w:jc w:val="right"/>
      </w:pPr>
      <w:r>
        <w:t>технического осмотра автобусов</w:t>
      </w:r>
    </w:p>
    <w:p w:rsidR="000518EA" w:rsidRDefault="000518EA">
      <w:pPr>
        <w:pStyle w:val="ConsPlusNormal"/>
        <w:jc w:val="right"/>
      </w:pPr>
      <w:r>
        <w:t>(в редакции постановления</w:t>
      </w:r>
    </w:p>
    <w:p w:rsidR="000518EA" w:rsidRDefault="000518EA">
      <w:pPr>
        <w:pStyle w:val="ConsPlusNormal"/>
        <w:jc w:val="right"/>
      </w:pPr>
      <w:r>
        <w:t>Правительства Российской Федерации</w:t>
      </w:r>
    </w:p>
    <w:p w:rsidR="000518EA" w:rsidRDefault="000518EA">
      <w:pPr>
        <w:pStyle w:val="ConsPlusNormal"/>
        <w:jc w:val="right"/>
      </w:pPr>
      <w:r>
        <w:t>от 15 сентября 2020 г. N 1434)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</w:pPr>
      <w:r>
        <w:t>Диагностическая карта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center"/>
      </w:pPr>
      <w:r>
        <w:t>Certificate of periodic technical inspection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sectPr w:rsidR="000518EA">
          <w:pgSz w:w="11906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907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2053"/>
      </w:tblGrid>
      <w:tr w:rsidR="000518EA">
        <w:tc>
          <w:tcPr>
            <w:tcW w:w="6347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lastRenderedPageBreak/>
              <w:t>Регистрационный номер</w:t>
            </w:r>
          </w:p>
        </w:tc>
        <w:tc>
          <w:tcPr>
            <w:tcW w:w="511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Срок действия до</w:t>
            </w:r>
          </w:p>
        </w:tc>
      </w:tr>
      <w:tr w:rsidR="000518EA"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053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6347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113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81"/>
        <w:gridCol w:w="899"/>
        <w:gridCol w:w="340"/>
        <w:gridCol w:w="3830"/>
        <w:gridCol w:w="3252"/>
        <w:gridCol w:w="340"/>
        <w:gridCol w:w="1103"/>
      </w:tblGrid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Оператор технического осмотра:</w:t>
            </w:r>
          </w:p>
        </w:tc>
      </w:tr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Пункт технического осмотра (передвижная диагностическая линия):</w:t>
            </w:r>
          </w:p>
        </w:tc>
      </w:tr>
      <w:tr w:rsidR="000518EA"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Первичная проверка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Повторная проверка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67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Регистрационный знак ТС:</w:t>
            </w:r>
          </w:p>
        </w:tc>
        <w:tc>
          <w:tcPr>
            <w:tcW w:w="46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Марка, модель ТС:</w:t>
            </w:r>
          </w:p>
        </w:tc>
      </w:tr>
      <w:tr w:rsidR="000518EA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VIN</w:t>
            </w:r>
          </w:p>
        </w:tc>
        <w:tc>
          <w:tcPr>
            <w:tcW w:w="5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Номер рамы</w:t>
            </w:r>
          </w:p>
        </w:tc>
        <w:tc>
          <w:tcPr>
            <w:tcW w:w="5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Категория ТС:</w:t>
            </w:r>
          </w:p>
        </w:tc>
      </w:tr>
      <w:tr w:rsidR="000518EA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Номер кузова</w:t>
            </w:r>
          </w:p>
        </w:tc>
        <w:tc>
          <w:tcPr>
            <w:tcW w:w="5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Год выпуска ТС:</w:t>
            </w:r>
          </w:p>
        </w:tc>
      </w:tr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СРТС или ПТС (ЭПТС) (серия, номер, выдан (оформлен) кем, когда):</w:t>
            </w:r>
          </w:p>
        </w:tc>
      </w:tr>
      <w:tr w:rsidR="000518EA">
        <w:tc>
          <w:tcPr>
            <w:tcW w:w="1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Тахограф или контрольное устройство (тахограф) (марка, модель, серийный номер):</w:t>
            </w: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1"/>
        <w:gridCol w:w="2902"/>
        <w:gridCol w:w="340"/>
        <w:gridCol w:w="476"/>
        <w:gridCol w:w="3164"/>
        <w:gridCol w:w="340"/>
        <w:gridCol w:w="461"/>
        <w:gridCol w:w="3015"/>
        <w:gridCol w:w="340"/>
      </w:tblGrid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 &lt;* &gt;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Обязательные требования безопасности, предъявляемые к транспортным средствам при проведении технического осмотра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 &lt;*&gt;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Обязательные требования безопасности, предъявляемые к транспортным средствам при проведении технического осмотра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N &lt;*&gt;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Обязательные требования безопасности, предъявляемые к транспортным средствам при проведении технического осмотра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I. Тормозные системы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и расположение фар и сигнальных фонарей в местах, предусмотренных конструкцией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аварийного выключателя дверей и сигнала требования остановки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источника света в фарах, формы, цвета и размера фар. Наличие светоотражающей контурной маркировки, отсутствие ее повреждения и отслоения.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показателей эффективности торможения и устойчивости торможения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IV. Стеклоочистители и стеклоомыватели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аварийных выходов, приборов внутреннего освещения салона, привода управления дверями и сигнализации их работы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разности тормозных сил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и работоспособность предусмотренных изготовителем транспортного средства стеклоочистителей и стеклоомывателей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работоспособного звукового сигнального прибора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рабочей тормозной системы автопоездов с пневматическим тормозным приводом в режиме аварийного (автоматического) торможения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Обеспечение стеклоомывателем подачи жидкости в зоны очистки стекла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обозначений аварийных выходов и табличек по правилам их использования. Обеспечение свободного доступа к аварийным выходам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утечек сжатого воздуха из колесных тормозных камер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продольного люфта в беззазорных тягово-сцепных устройствах с тяговой вилкой для сцепленного с прицепом тягача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подтеканий тормозной жидкости, нарушения герметичности трубопроводов или соединений в гидравлическом тормозном приводе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V. Шины и колеса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размерных характеристик сцепных устройств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коррозии, грозящей потерей герметичности или разрушением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остаточной глубины рисунка протектора шин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Оснащение транспортных средств исправными ремнями безопасности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механических повреждений тормозных трубопроводов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Отсутствие признаков непригодности шин к эксплуатации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знака аварийной остановки и медицинской аптечки (медицинских аптечек)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трещин остаточной деформации деталей тормозного привода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всех болтов или гаек крепления дисков и ободьев колес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не менее 2 противооткатных упоров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Исправность средств сигнализации и контроля тормозных систем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трещин на дисках и ободьях колес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огнетушителей, соответствующих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набухания тормозных шлангов под давлением, трещин и видимых мест перетирания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видимых нарушений формы и размеров крепежных отверстий в дисках колес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Надежное крепление поручней в автобусах, запасного колеса, аккумуляторной батареи, сидений, огнетушителей и медицинской аптечки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Расположение и длина соединительных шлангов пневматического тормозного привода автопоездов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Установка шин на транспортное средство в соответствии с установленными требованиями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механизмов регулировки сидений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II. Рулевое управление</w:t>
            </w: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VI. Двигатель и его системы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усилителя рулевого управления. Плавность изменения усилия при повороте рулевого колеса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содержания загрязняющих веществ в отработавших газах транспортных средств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держателя запасного колеса, лебедки и механизма подъема-опускания запасного колеса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самопроизвольного поворота рулевого колеса с усилителем рулевого управления от нейтрального положения при работающем двигателе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подтекания и каплепадения топлива в системе питания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каплепадения масел и рабочих жидкостей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превышения предельных значений суммарного люфта в рулевом управлении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запорных устройств и устройств перекрытия топлива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Установка государственных регистрационных знаков в соответствии с установленными требованиями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повреждения и полная комплектность деталей крепления рулевой колонки и картера рулевого механизма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системы питания газобаллонных транспортных средств, ее размещения и установки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устройства или системы вызова экстренных оперативных служб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следов остаточной деформации, трещин и других дефектов в рулевом механизме и рулевом приводе. Наличие и работоспособность предусмотренного изготовителем транспортного средства рулевого демпфера и (или) усилителя рулевого управления. Отсутствие подтекания рабочей жидкости в гидросистеме усилителя рулевого управления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нормам уровня шума выпускной системы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изменений в конструкции транспортного средства, внесенных в нарушение установленных требований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устройств, ограничивающих поворот рулевого колеса, не предусмотренных конструкцией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VII. Прочие элементы конструкции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транспортного средства установленным дополнительным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III. Внешние световые приборы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зеркал заднего вида в соответствии с установленными требованиями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работоспособного тахографа или работоспособного контрольного устройства (тахографа)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устройств освещения и световой сигнализации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 xml:space="preserve">Отсутствие дополнительных предметов или покрытий, ограничивающих обзорность с места водителя. </w:t>
            </w:r>
            <w:r>
              <w:lastRenderedPageBreak/>
              <w:t>Соответствие полосы пленки в верхней части ветрового стекла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8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Наличие рассеивателей внешних световых приборов, отсутствие их разрушения и загрязнения. Отсутствие не предусмотренных конструкцией светового прибора оптических элементов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норме светопропускания ветрового стекла, передних боковых стекол и стекол передних дверей</w:t>
            </w:r>
          </w:p>
        </w:tc>
        <w:tc>
          <w:tcPr>
            <w:tcW w:w="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816" w:type="dxa"/>
            <w:gridSpan w:val="3"/>
            <w:vMerge/>
            <w:tcBorders>
              <w:top w:val="single" w:sz="4" w:space="0" w:color="auto"/>
              <w:lef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и режим работы сигналов торможения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Отсутствие трещин на ветровом стекле в зоне очистки водительского стеклоочистителя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816" w:type="dxa"/>
            <w:gridSpan w:val="3"/>
            <w:vMerge/>
            <w:tcBorders>
              <w:top w:val="single" w:sz="4" w:space="0" w:color="auto"/>
              <w:lef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Соответствие углов регулировки и силы света фар установленным требованиям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Работоспособность замков дверей кузова, кабины, механизмов регулировки и фиксирующих устройств сидений, устройства обогрева и обдува ветрового стекла противоугонного устройства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816" w:type="dxa"/>
            <w:gridSpan w:val="3"/>
            <w:vMerge/>
            <w:tcBorders>
              <w:top w:val="single" w:sz="4" w:space="0" w:color="auto"/>
              <w:lef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95"/>
        <w:gridCol w:w="1380"/>
        <w:gridCol w:w="1545"/>
        <w:gridCol w:w="4536"/>
        <w:gridCol w:w="2424"/>
      </w:tblGrid>
      <w:tr w:rsidR="000518EA">
        <w:tc>
          <w:tcPr>
            <w:tcW w:w="1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Результаты диагностирования</w:t>
            </w:r>
          </w:p>
        </w:tc>
      </w:tr>
      <w:tr w:rsidR="000518EA">
        <w:tc>
          <w:tcPr>
            <w:tcW w:w="8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Требования, по которым установлено несоответствие</w:t>
            </w:r>
          </w:p>
        </w:tc>
        <w:tc>
          <w:tcPr>
            <w:tcW w:w="2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Пункт диагностической карты</w:t>
            </w: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Нижняя граница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Результат проверки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Верхняя граница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Наименование требования</w:t>
            </w:r>
          </w:p>
        </w:tc>
        <w:tc>
          <w:tcPr>
            <w:tcW w:w="2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8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8EA" w:rsidRDefault="000518EA">
            <w:pPr>
              <w:pStyle w:val="ConsPlusNormal"/>
              <w:jc w:val="center"/>
            </w:pPr>
            <w:r>
              <w:t>Невыполненные требования</w:t>
            </w:r>
          </w:p>
        </w:tc>
        <w:tc>
          <w:tcPr>
            <w:tcW w:w="2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8EA" w:rsidRDefault="000518EA">
            <w:pPr>
              <w:pStyle w:val="ConsPlusNormal"/>
              <w:jc w:val="center"/>
            </w:pPr>
            <w:r>
              <w:lastRenderedPageBreak/>
              <w:t>Предмет проверки (узел, деталь, агрегат)</w:t>
            </w: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8EA" w:rsidRDefault="000518EA">
            <w:pPr>
              <w:pStyle w:val="ConsPlusNormal"/>
              <w:jc w:val="center"/>
            </w:pPr>
            <w:r>
              <w:t>Содержание невыполненного требования (с указанием нормативного источника)</w:t>
            </w:r>
          </w:p>
        </w:tc>
        <w:tc>
          <w:tcPr>
            <w:tcW w:w="2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2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18EA" w:rsidRDefault="000518EA">
            <w:pPr>
              <w:pStyle w:val="ConsPlusNormal"/>
            </w:pPr>
            <w:r>
              <w:t>Примечания:</w:t>
            </w:r>
          </w:p>
        </w:tc>
      </w:tr>
      <w:tr w:rsidR="000518EA">
        <w:tc>
          <w:tcPr>
            <w:tcW w:w="1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3"/>
        <w:gridCol w:w="1462"/>
        <w:gridCol w:w="340"/>
        <w:gridCol w:w="2450"/>
        <w:gridCol w:w="2265"/>
        <w:gridCol w:w="680"/>
      </w:tblGrid>
      <w:tr w:rsidR="000518EA">
        <w:tc>
          <w:tcPr>
            <w:tcW w:w="112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Данные транспортного средства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Масса без нагрузки:</w:t>
            </w:r>
          </w:p>
        </w:tc>
        <w:tc>
          <w:tcPr>
            <w:tcW w:w="7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Разрешенная максимальная масса: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Тип топлива:</w:t>
            </w:r>
          </w:p>
        </w:tc>
        <w:tc>
          <w:tcPr>
            <w:tcW w:w="7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Пробег ТС: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Тип тормозной системы:</w:t>
            </w:r>
          </w:p>
        </w:tc>
        <w:tc>
          <w:tcPr>
            <w:tcW w:w="7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Марка шин:</w:t>
            </w:r>
          </w:p>
        </w:tc>
      </w:tr>
      <w:tr w:rsidR="000518EA"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Сведения о газовом баллоне (газовых баллонах)</w:t>
            </w:r>
          </w:p>
          <w:p w:rsidR="000518EA" w:rsidRDefault="000518EA">
            <w:pPr>
              <w:pStyle w:val="ConsPlusNormal"/>
            </w:pPr>
            <w:r>
              <w:t>(год выпуска, серийный номер, даты последнего и очередного освидетельствования каждого газового баллона):</w:t>
            </w:r>
          </w:p>
        </w:tc>
        <w:tc>
          <w:tcPr>
            <w:tcW w:w="7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Сведения по газобаллонному оборудованию</w:t>
            </w:r>
          </w:p>
          <w:p w:rsidR="000518EA" w:rsidRDefault="000518EA">
            <w:pPr>
              <w:pStyle w:val="ConsPlusNormal"/>
            </w:pPr>
            <w:r>
              <w:t>(номер свидетельства о проведении периодических испытаний газобаллонного оборудования и дата его очередного освидетельствования):</w:t>
            </w:r>
          </w:p>
        </w:tc>
      </w:tr>
      <w:tr w:rsidR="000518EA">
        <w:tc>
          <w:tcPr>
            <w:tcW w:w="55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Заключение о соответствии или несоответствии автобуса обязательным требованиям безопасности транспортных средств (подтверждающее или не подтверждающее его допуск к участию в дорожном движении)</w:t>
            </w:r>
          </w:p>
          <w:p w:rsidR="000518EA" w:rsidRDefault="000518EA">
            <w:pPr>
              <w:pStyle w:val="ConsPlusNormal"/>
            </w:pPr>
            <w:r>
              <w:t>Results of the roadworthiness inspection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80" w:type="dxa"/>
            <w:tcBorders>
              <w:top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55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Соответствует</w:t>
            </w:r>
          </w:p>
          <w:p w:rsidR="000518EA" w:rsidRDefault="000518EA">
            <w:pPr>
              <w:pStyle w:val="ConsPlusNormal"/>
              <w:jc w:val="center"/>
            </w:pPr>
            <w:r>
              <w:t>Passed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center"/>
            </w:pPr>
            <w:r>
              <w:t>Не соответствует</w:t>
            </w:r>
          </w:p>
          <w:p w:rsidR="000518EA" w:rsidRDefault="000518EA">
            <w:pPr>
              <w:pStyle w:val="ConsPlusNormal"/>
              <w:jc w:val="center"/>
            </w:pPr>
            <w:r>
              <w:t>Failed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55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55"/>
        <w:gridCol w:w="2910"/>
      </w:tblGrid>
      <w:tr w:rsidR="000518EA"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Пункты диагностической карты, требующие повторной проверки:</w:t>
            </w:r>
          </w:p>
        </w:tc>
        <w:tc>
          <w:tcPr>
            <w:tcW w:w="2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8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2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70"/>
        <w:gridCol w:w="3412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0518E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Дата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  <w:r>
              <w:t>Повторный технический осмотр провести до</w:t>
            </w: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12" w:type="dxa"/>
            <w:tcBorders>
              <w:top w:val="single" w:sz="4" w:space="0" w:color="auto"/>
              <w:bottom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  <w:tc>
          <w:tcPr>
            <w:tcW w:w="340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  <w:tr w:rsidR="000518EA">
        <w:tc>
          <w:tcPr>
            <w:tcW w:w="1129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Ф.И.О. технического эксперта</w:t>
            </w:r>
          </w:p>
        </w:tc>
      </w:tr>
      <w:tr w:rsidR="000518EA">
        <w:tc>
          <w:tcPr>
            <w:tcW w:w="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Подпись</w:t>
            </w:r>
          </w:p>
          <w:p w:rsidR="000518EA" w:rsidRDefault="000518EA">
            <w:pPr>
              <w:pStyle w:val="ConsPlusNormal"/>
              <w:jc w:val="both"/>
            </w:pPr>
            <w:r>
              <w:t>Signature</w:t>
            </w:r>
          </w:p>
        </w:tc>
        <w:tc>
          <w:tcPr>
            <w:tcW w:w="80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Печать &lt;**&gt;</w:t>
            </w:r>
          </w:p>
          <w:p w:rsidR="000518EA" w:rsidRDefault="000518EA">
            <w:pPr>
              <w:pStyle w:val="ConsPlusNormal"/>
              <w:jc w:val="both"/>
            </w:pPr>
            <w:r>
              <w:t>Stamp</w:t>
            </w:r>
          </w:p>
        </w:tc>
      </w:tr>
      <w:tr w:rsidR="000518EA">
        <w:tc>
          <w:tcPr>
            <w:tcW w:w="1129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Ф.И.О. сотрудника Госавтоинспекции</w:t>
            </w:r>
          </w:p>
        </w:tc>
      </w:tr>
      <w:tr w:rsidR="000518EA">
        <w:tc>
          <w:tcPr>
            <w:tcW w:w="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  <w:jc w:val="both"/>
            </w:pPr>
            <w:r>
              <w:t>Подпись</w:t>
            </w:r>
          </w:p>
          <w:p w:rsidR="000518EA" w:rsidRDefault="000518EA">
            <w:pPr>
              <w:pStyle w:val="ConsPlusNormal"/>
              <w:jc w:val="both"/>
            </w:pPr>
            <w:r>
              <w:t>Signature</w:t>
            </w:r>
          </w:p>
        </w:tc>
        <w:tc>
          <w:tcPr>
            <w:tcW w:w="80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EA" w:rsidRDefault="000518EA">
            <w:pPr>
              <w:pStyle w:val="ConsPlusNormal"/>
            </w:pPr>
          </w:p>
        </w:tc>
      </w:tr>
    </w:tbl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>--------------------------------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&lt;*&gt; Нумерация строк соответствует нумерации обязательных требований безопасности, предъявляемых к транспортным средствам при проведении технического осмотра отдельных категорий, указанных в приложении к Правилам проведения технического осмотра транспортных средств, утвержденными постановлением Правительства Российской Федерации от 15 сентября 2020 г. N 1434 "Об утверждении Правил проведения технического осмотра транспортных средств, а также о внесении изменений в некоторые акты Правительства Российской Федерации".</w:t>
      </w:r>
    </w:p>
    <w:p w:rsidR="000518EA" w:rsidRDefault="000518EA">
      <w:pPr>
        <w:pStyle w:val="ConsPlusNormal"/>
        <w:spacing w:before="160"/>
        <w:ind w:firstLine="540"/>
        <w:jc w:val="both"/>
      </w:pPr>
      <w:r>
        <w:t>&lt;**&gt; Печать оператора технического осмотра проставляется в случае выдачи диагностической карты на бумажном носителе.".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ind w:firstLine="540"/>
        <w:jc w:val="both"/>
      </w:pPr>
      <w:r>
        <w:t xml:space="preserve">4. Утратил силу. - </w:t>
      </w:r>
      <w:hyperlink r:id="rId101" w:history="1">
        <w:r>
          <w:rPr>
            <w:color w:val="0000FF"/>
          </w:rPr>
          <w:t>Постановление</w:t>
        </w:r>
      </w:hyperlink>
      <w:r>
        <w:t xml:space="preserve"> Правительства РФ от 30.06.2021 N 1101.</w:t>
      </w: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jc w:val="both"/>
      </w:pPr>
    </w:p>
    <w:p w:rsidR="000518EA" w:rsidRDefault="000518E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518EA">
      <w:pgSz w:w="16838" w:h="11906" w:orient="landscape"/>
      <w:pgMar w:top="1701" w:right="1134" w:bottom="85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799"/>
    <w:rsid w:val="000518EA"/>
    <w:rsid w:val="001723B9"/>
    <w:rsid w:val="00A96799"/>
    <w:rsid w:val="00B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9715935D4AFA451360F6C2EA8669278322FA04D496C12D00E3A3F594E5F2D3C7181DC8A3344E41CF1D055D987081BD1B6AB4B4BAF1F32E76fAX4M" TargetMode="External"/><Relationship Id="rId21" Type="http://schemas.openxmlformats.org/officeDocument/2006/relationships/hyperlink" Target="consultantplus://offline/ref=9715935D4AFA451360F6C2EA8669278322F405D293C42D00E3A3F594E5F2D3C7181DC8A3344E40C910055D987081BD1B6AB4B4BAF1F32E76fAX4M" TargetMode="External"/><Relationship Id="rId42" Type="http://schemas.openxmlformats.org/officeDocument/2006/relationships/hyperlink" Target="consultantplus://offline/ref=9715935D4AFA451360F6C2EA8669278322FB0ED394CF2D00E3A3F594E5F2D3C7181DC8A3344D40CE1C055D987081BD1B6AB4B4BAF1F32E76fAX4M" TargetMode="External"/><Relationship Id="rId47" Type="http://schemas.openxmlformats.org/officeDocument/2006/relationships/hyperlink" Target="consultantplus://offline/ref=9715935D4AFA451360F6C2EA8669278322FB0ED394CF2D00E3A3F594E5F2D3C7181DC8A3344D40CF1C055D987081BD1B6AB4B4BAF1F32E76fAX4M" TargetMode="External"/><Relationship Id="rId63" Type="http://schemas.openxmlformats.org/officeDocument/2006/relationships/hyperlink" Target="consultantplus://offline/ref=9715935D4AFA451360F6C2EA8669278322FB0ED394CF2D00E3A3F594E5F2D3C7181DC8A3344D44CA11055D987081BD1B6AB4B4BAF1F32E76fAX4M" TargetMode="External"/><Relationship Id="rId68" Type="http://schemas.openxmlformats.org/officeDocument/2006/relationships/hyperlink" Target="consultantplus://offline/ref=9715935D4AFA451360F6C2EA8669278322FB0ED394CF2D00E3A3F594E5F2D3C7181DC8A3344D44CF16055D987081BD1B6AB4B4BAF1F32E76fAX4M" TargetMode="External"/><Relationship Id="rId84" Type="http://schemas.openxmlformats.org/officeDocument/2006/relationships/hyperlink" Target="consultantplus://offline/ref=9715935D4AFA451360F6D9EB8169278327F20CD69DCD700AEBFAF996E2FD8CC21F0CC8A3345040CA0A0C09CBf3X5M" TargetMode="External"/><Relationship Id="rId89" Type="http://schemas.openxmlformats.org/officeDocument/2006/relationships/hyperlink" Target="consultantplus://offline/ref=9715935D4AFA451360F6C2EA8669278322F70CD09DCF2D00E3A3F594E5F2D3C70A1D90AF354E5FCA15100BC936fDX5M" TargetMode="External"/><Relationship Id="rId7" Type="http://schemas.openxmlformats.org/officeDocument/2006/relationships/hyperlink" Target="consultantplus://offline/ref=9715935D4AFA451360F6C2EA8669278322F508D395C22D00E3A3F594E5F2D3C7181DC8A3344E41CB11055D987081BD1B6AB4B4BAF1F32E76fAX4M" TargetMode="External"/><Relationship Id="rId71" Type="http://schemas.openxmlformats.org/officeDocument/2006/relationships/hyperlink" Target="consultantplus://offline/ref=9715935D4AFA451360F6C2EA8669278322FB0ED394CF2D00E3A3F594E5F2D3C7181DC8A3344D44CE16055D987081BD1B6AB4B4BAF1F32E76fAX4M" TargetMode="External"/><Relationship Id="rId92" Type="http://schemas.openxmlformats.org/officeDocument/2006/relationships/hyperlink" Target="consultantplus://offline/ref=9715935D4AFA451360F6C2EA8669278322FB0ED394CF2D00E3A3F594E5F2D3C7181DC8A3344E44C21C055D987081BD1B6AB4B4BAF1F32E76fAX4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715935D4AFA451360F6C2EA8669278320F60CD197C42D00E3A3F594E5F2D3C7181DC8A3344E41CA14055D987081BD1B6AB4B4BAF1F32E76fAX4M" TargetMode="External"/><Relationship Id="rId29" Type="http://schemas.openxmlformats.org/officeDocument/2006/relationships/hyperlink" Target="consultantplus://offline/ref=9715935D4AFA451360F6C2EA8669278322F508D395C22D00E3A3F594E5F2D3C7181DC8A3344E41CB11055D987081BD1B6AB4B4BAF1F32E76fAX4M" TargetMode="External"/><Relationship Id="rId11" Type="http://schemas.openxmlformats.org/officeDocument/2006/relationships/hyperlink" Target="consultantplus://offline/ref=9715935D4AFA451360F6C2EA8669278322F604D494C72D00E3A3F594E5F2D3C7181DC8A3344E43CD14055D987081BD1B6AB4B4BAF1F32E76fAX4M" TargetMode="External"/><Relationship Id="rId24" Type="http://schemas.openxmlformats.org/officeDocument/2006/relationships/hyperlink" Target="consultantplus://offline/ref=9715935D4AFA451360F6DCE48269278322F404DF92C72D00E3A3F594E5F2D3C7181DC8A3344E41CA10055D987081BD1B6AB4B4BAF1F32E76fAX4M" TargetMode="External"/><Relationship Id="rId32" Type="http://schemas.openxmlformats.org/officeDocument/2006/relationships/hyperlink" Target="consultantplus://offline/ref=9715935D4AFA451360F6C2EA8669278322FB0ED394CF2D00E3A3F594E5F2D3C7181DC8A3344D41CC17055D987081BD1B6AB4B4BAF1F32E76fAX4M" TargetMode="External"/><Relationship Id="rId37" Type="http://schemas.openxmlformats.org/officeDocument/2006/relationships/hyperlink" Target="consultantplus://offline/ref=9715935D4AFA451360F6C2EA8669278322FB0ED394CF2D00E3A3F594E5F2D3C7181DC8A3344D40CF16055D987081BD1B6AB4B4BAF1F32E76fAX4M" TargetMode="External"/><Relationship Id="rId40" Type="http://schemas.openxmlformats.org/officeDocument/2006/relationships/hyperlink" Target="consultantplus://offline/ref=9715935D4AFA451360F6C2EA8669278322FB0ED394CF2D00E3A3F594E5F2D3C7181DC8A3344E41C811055D987081BD1B6AB4B4BAF1F32E76fAX4M" TargetMode="External"/><Relationship Id="rId45" Type="http://schemas.openxmlformats.org/officeDocument/2006/relationships/hyperlink" Target="consultantplus://offline/ref=9715935D4AFA451360F6C2EA8669278322FB0ED394CF2D00E3A3F594E5F2D3C7181DC8A3344D40CF11055D987081BD1B6AB4B4BAF1F32E76fAX4M" TargetMode="External"/><Relationship Id="rId53" Type="http://schemas.openxmlformats.org/officeDocument/2006/relationships/hyperlink" Target="consultantplus://offline/ref=9715935D4AFA451360F6C2EA8669278322FB0ED394CF2D00E3A3F594E5F2D3C7181DC8A3344D45CE14055D987081BD1B6AB4B4BAF1F32E76fAX4M" TargetMode="External"/><Relationship Id="rId58" Type="http://schemas.openxmlformats.org/officeDocument/2006/relationships/hyperlink" Target="consultantplus://offline/ref=9715935D4AFA451360F6C2EA8669278322FB0ED394CF2D00E3A3F594E5F2D3C7181DC8A63D4B4A9F454A5CC435D4AE1B6BB4B7BBEDfFX0M" TargetMode="External"/><Relationship Id="rId66" Type="http://schemas.openxmlformats.org/officeDocument/2006/relationships/hyperlink" Target="consultantplus://offline/ref=9715935D4AFA451360F6C2EA8669278322FB0ED394CF2D00E3A3F594E5F2D3C7181DC8A3344E45CD1C055D987081BD1B6AB4B4BAF1F32E76fAX4M" TargetMode="External"/><Relationship Id="rId74" Type="http://schemas.openxmlformats.org/officeDocument/2006/relationships/hyperlink" Target="consultantplus://offline/ref=9715935D4AFA451360F6C2EA8669278322FB0ED394CF2D00E3A3F594E5F2D3C7181DC8A3344D44CD10055D987081BD1B6AB4B4BAF1F32E76fAX4M" TargetMode="External"/><Relationship Id="rId79" Type="http://schemas.openxmlformats.org/officeDocument/2006/relationships/hyperlink" Target="consultantplus://offline/ref=9715935D4AFA451360F6C2EA8669278322FB0ED394CF2D00E3A3F594E5F2D3C7181DC8A3344D47CF14055D987081BD1B6AB4B4BAF1F32E76fAX4M" TargetMode="External"/><Relationship Id="rId87" Type="http://schemas.openxmlformats.org/officeDocument/2006/relationships/hyperlink" Target="consultantplus://offline/ref=9715935D4AFA451360F6C2EA8669278322FB0ED394CF2D00E3A3F594E5F2D3C7181DC8A3344E47CB10055D987081BD1B6AB4B4BAF1F32E76fAX4M" TargetMode="External"/><Relationship Id="rId102" Type="http://schemas.openxmlformats.org/officeDocument/2006/relationships/fontTable" Target="fontTable.xm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consultantplus://offline/ref=9715935D4AFA451360F6C2EA8669278322FB0ED394CF2D00E3A3F594E5F2D3C7181DC8A737464A9F454A5CC435D4AE1B6BB4B7BBEDfFX0M" TargetMode="External"/><Relationship Id="rId82" Type="http://schemas.openxmlformats.org/officeDocument/2006/relationships/hyperlink" Target="consultantplus://offline/ref=9715935D4AFA451360F6C2EA8669278322FB0ED394CF2D00E3A3F594E5F2D3C7181DC8A3344D47CD1D055D987081BD1B6AB4B4BAF1F32E76fAX4M" TargetMode="External"/><Relationship Id="rId90" Type="http://schemas.openxmlformats.org/officeDocument/2006/relationships/hyperlink" Target="consultantplus://offline/ref=9715935D4AFA451360F6D9EB8169278327F20CD69DCD700AEBFAF996E2FD8CC21F0CC8A3345040CA0A0C09CBf3X5M" TargetMode="External"/><Relationship Id="rId95" Type="http://schemas.openxmlformats.org/officeDocument/2006/relationships/hyperlink" Target="consultantplus://offline/ref=9715935D4AFA451360F6C2EA8669278322FA04D096CE2D00E3A3F594E5F2D3C7181DC8A3344E45CB12055D987081BD1B6AB4B4BAF1F32E76fAX4M" TargetMode="External"/><Relationship Id="rId19" Type="http://schemas.openxmlformats.org/officeDocument/2006/relationships/hyperlink" Target="consultantplus://offline/ref=9715935D4AFA451360F6C2EA8669278320F105D195C22D00E3A3F594E5F2D3C7181DC8A3344E41CA14055D987081BD1B6AB4B4BAF1F32E76fAX4M" TargetMode="External"/><Relationship Id="rId14" Type="http://schemas.openxmlformats.org/officeDocument/2006/relationships/hyperlink" Target="consultantplus://offline/ref=9715935D4AFA451360F6D9EB8169278327F20CD69DCD700AEBFAF996E2FD8CC21F0CC8A3345040CA0A0C09CBf3X5M" TargetMode="External"/><Relationship Id="rId22" Type="http://schemas.openxmlformats.org/officeDocument/2006/relationships/hyperlink" Target="consultantplus://offline/ref=9715935D4AFA451360F6DCE48269278322F70BD297CF2D00E3A3F594E5F2D3C7181DC8A3344E41CA15055D987081BD1B6AB4B4BAF1F32E76fAX4M" TargetMode="External"/><Relationship Id="rId27" Type="http://schemas.openxmlformats.org/officeDocument/2006/relationships/hyperlink" Target="consultantplus://offline/ref=9715935D4AFA451360F6C2EA8669278322FA04D496C12D00E3A3F594E5F2D3C7181DC8A3304A4A9F454A5CC435D4AE1B6BB4B7BBEDfFX0M" TargetMode="External"/><Relationship Id="rId30" Type="http://schemas.openxmlformats.org/officeDocument/2006/relationships/hyperlink" Target="consultantplus://offline/ref=9715935D4AFA451360F6C2EA8669278322FB0ED394CF2D00E3A3F594E5F2D3C7181DC8A3344D41CA10055D987081BD1B6AB4B4BAF1F32E76fAX4M" TargetMode="External"/><Relationship Id="rId35" Type="http://schemas.openxmlformats.org/officeDocument/2006/relationships/hyperlink" Target="consultantplus://offline/ref=9715935D4AFA451360F6C2EA8669278322FB0ED394CF2D00E3A3F594E5F2D3C7181DC8A3344D40CA15055D987081BD1B6AB4B4BAF1F32E76fAX4M" TargetMode="External"/><Relationship Id="rId43" Type="http://schemas.openxmlformats.org/officeDocument/2006/relationships/hyperlink" Target="consultantplus://offline/ref=9715935D4AFA451360F6C2EA8669278322FB0ED394CF2D00E3A3F594E5F2D3C7181DC8A6334B4A9F454A5CC435D4AE1B6BB4B7BBEDfFX0M" TargetMode="External"/><Relationship Id="rId48" Type="http://schemas.openxmlformats.org/officeDocument/2006/relationships/hyperlink" Target="consultantplus://offline/ref=9715935D4AFA451360F6C2EA8669278322FB0ED394CF2D00E3A3F594E5F2D3C7181DC8A3344D42C310055D987081BD1B6AB4B4BAF1F32E76fAX4M" TargetMode="External"/><Relationship Id="rId56" Type="http://schemas.openxmlformats.org/officeDocument/2006/relationships/hyperlink" Target="consultantplus://offline/ref=9715935D4AFA451360F6C2EA8669278322FB0ED394CF2D00E3A3F594E5F2D3C7181DC8A3344D43C917055D987081BD1B6AB4B4BAF1F32E76fAX4M" TargetMode="External"/><Relationship Id="rId64" Type="http://schemas.openxmlformats.org/officeDocument/2006/relationships/hyperlink" Target="consultantplus://offline/ref=9715935D4AFA451360F6C2EA8669278322FB0ED394CF2D00E3A3F594E5F2D3C7181DC8A3344F48CC17055D987081BD1B6AB4B4BAF1F32E76fAX4M" TargetMode="External"/><Relationship Id="rId69" Type="http://schemas.openxmlformats.org/officeDocument/2006/relationships/hyperlink" Target="consultantplus://offline/ref=9715935D4AFA451360F6C2EA8669278322FB0ED394CF2D00E3A3F594E5F2D3C7181DC8A3344D44CF13055D987081BD1B6AB4B4BAF1F32E76fAX4M" TargetMode="External"/><Relationship Id="rId77" Type="http://schemas.openxmlformats.org/officeDocument/2006/relationships/hyperlink" Target="consultantplus://offline/ref=9715935D4AFA451360F6C2EA8669278322FB0ED394CF2D00E3A3F594E5F2D3C7181DC8A3344D44CC12055D987081BD1B6AB4B4BAF1F32E76fAX4M" TargetMode="External"/><Relationship Id="rId100" Type="http://schemas.openxmlformats.org/officeDocument/2006/relationships/hyperlink" Target="consultantplus://offline/ref=9715935D4AFA451360F6C2EA8669278322F70ED59CC42D00E3A3F594E5F2D3C7181DC8A3344E41C91D055D987081BD1B6AB4B4BAF1F32E76fAX4M" TargetMode="External"/><Relationship Id="rId8" Type="http://schemas.openxmlformats.org/officeDocument/2006/relationships/hyperlink" Target="consultantplus://offline/ref=9715935D4AFA451360F6C2EA8669278322FA04D096CE2D00E3A3F594E5F2D3C7181DC8A3344E45CB12055D987081BD1B6AB4B4BAF1F32E76fAX4M" TargetMode="External"/><Relationship Id="rId51" Type="http://schemas.openxmlformats.org/officeDocument/2006/relationships/hyperlink" Target="consultantplus://offline/ref=9715935D4AFA451360F6C2EA8669278322FB0ED394CF2D00E3A3F594E5F2D3C7181DC8A3344D42C217055D987081BD1B6AB4B4BAF1F32E76fAX4M" TargetMode="External"/><Relationship Id="rId72" Type="http://schemas.openxmlformats.org/officeDocument/2006/relationships/hyperlink" Target="consultantplus://offline/ref=9715935D4AFA451360F6C2EA8669278322FB0ED394CF2D00E3A3F594E5F2D3C7181DC8A3344D44CE10055D987081BD1B6AB4B4BAF1F32E76fAX4M" TargetMode="External"/><Relationship Id="rId80" Type="http://schemas.openxmlformats.org/officeDocument/2006/relationships/hyperlink" Target="consultantplus://offline/ref=9715935D4AFA451360F6C2EA8669278322FB0ED394CF2D00E3A3F594E5F2D3C7181DC8A3344D47CE11055D987081BD1B6AB4B4BAF1F32E76fAX4M" TargetMode="External"/><Relationship Id="rId85" Type="http://schemas.openxmlformats.org/officeDocument/2006/relationships/hyperlink" Target="consultantplus://offline/ref=9715935D4AFA451360F6D9EB8169278327F20CD69DCD700AEBFAF996E2FD8CC21F0CC8A3345040CA0A0C09CBf3X5M" TargetMode="External"/><Relationship Id="rId93" Type="http://schemas.openxmlformats.org/officeDocument/2006/relationships/hyperlink" Target="consultantplus://offline/ref=9715935D4AFA451360F6C2EA8669278322F504D191CE2D00E3A3F594E5F2D3C7181DC8A3344E43C214055D987081BD1B6AB4B4BAF1F32E76fAX4M" TargetMode="External"/><Relationship Id="rId98" Type="http://schemas.openxmlformats.org/officeDocument/2006/relationships/hyperlink" Target="consultantplus://offline/ref=9715935D4AFA451360F6C2EA8669278322F70ED59CC42D00E3A3F594E5F2D3C7181DC8A3344E41CB1D055D987081BD1B6AB4B4BAF1F32E76fAX4M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9715935D4AFA451360F6C2EA8669278322F508D395C22D00E3A3F594E5F2D3C7181DC8A3344E41CB11055D987081BD1B6AB4B4BAF1F32E76fAX4M" TargetMode="External"/><Relationship Id="rId17" Type="http://schemas.openxmlformats.org/officeDocument/2006/relationships/hyperlink" Target="consultantplus://offline/ref=9715935D4AFA451360F6C2EA8669278322FA04D496C12D00E3A3F594E5F2D3C70A1D90AF354E5FCA15100BC936fDX5M" TargetMode="External"/><Relationship Id="rId25" Type="http://schemas.openxmlformats.org/officeDocument/2006/relationships/hyperlink" Target="consultantplus://offline/ref=9715935D4AFA451360F6C2EA8669278322FA04D496C12D00E3A3F594E5F2D3C7181DC8A3344E40C21D055D987081BD1B6AB4B4BAF1F32E76fAX4M" TargetMode="External"/><Relationship Id="rId33" Type="http://schemas.openxmlformats.org/officeDocument/2006/relationships/hyperlink" Target="consultantplus://offline/ref=9715935D4AFA451360F6C2EA8669278322FB0ED394CF2D00E3A3F594E5F2D3C7181DC8A6314E4A9F454A5CC435D4AE1B6BB4B7BBEDfFX0M" TargetMode="External"/><Relationship Id="rId38" Type="http://schemas.openxmlformats.org/officeDocument/2006/relationships/hyperlink" Target="consultantplus://offline/ref=9715935D4AFA451360F6C2EA8669278322FB0ED394CF2D00E3A3F594E5F2D3C7181DC8A3344D40C910055D987081BD1B6AB4B4BAF1F32E76fAX4M" TargetMode="External"/><Relationship Id="rId46" Type="http://schemas.openxmlformats.org/officeDocument/2006/relationships/hyperlink" Target="consultantplus://offline/ref=9715935D4AFA451360F6C2EA8669278322FB0ED394CF2D00E3A3F594E5F2D3C7181DC8A3344D40CF13055D987081BD1B6AB4B4BAF1F32E76fAX4M" TargetMode="External"/><Relationship Id="rId59" Type="http://schemas.openxmlformats.org/officeDocument/2006/relationships/hyperlink" Target="consultantplus://offline/ref=9715935D4AFA451360F6C2EA8669278322FB0ED394CF2D00E3A3F594E5F2D3C7181DC8A3344D45C81C055D987081BD1B6AB4B4BAF1F32E76fAX4M" TargetMode="External"/><Relationship Id="rId67" Type="http://schemas.openxmlformats.org/officeDocument/2006/relationships/hyperlink" Target="consultantplus://offline/ref=9715935D4AFA451360F6C2EA8669278322FB0ED394CF2D00E3A3F594E5F2D3C7181DC8A3344D44C814055D987081BD1B6AB4B4BAF1F32E76fAX4M" TargetMode="External"/><Relationship Id="rId103" Type="http://schemas.openxmlformats.org/officeDocument/2006/relationships/theme" Target="theme/theme1.xml"/><Relationship Id="rId20" Type="http://schemas.openxmlformats.org/officeDocument/2006/relationships/hyperlink" Target="consultantplus://offline/ref=9715935D4AFA451360F6C2EA8669278320F604D490C22D00E3A3F594E5F2D3C70A1D90AF354E5FCA15100BC936fDX5M" TargetMode="External"/><Relationship Id="rId41" Type="http://schemas.openxmlformats.org/officeDocument/2006/relationships/hyperlink" Target="consultantplus://offline/ref=9715935D4AFA451360F6C2EA8669278322FB0ED394CF2D00E3A3F594E5F2D3C7181DC8A7314D4A9F454A5CC435D4AE1B6BB4B7BBEDfFX0M" TargetMode="External"/><Relationship Id="rId54" Type="http://schemas.openxmlformats.org/officeDocument/2006/relationships/hyperlink" Target="consultantplus://offline/ref=9715935D4AFA451360F6C2EA8669278322FB0ED394CF2D00E3A3F594E5F2D3C7181DC8A3344D45CD15055D987081BD1B6AB4B4BAF1F32E76fAX4M" TargetMode="External"/><Relationship Id="rId62" Type="http://schemas.openxmlformats.org/officeDocument/2006/relationships/hyperlink" Target="consultantplus://offline/ref=9715935D4AFA451360F6C2EA8669278322FB0ED394CF2D00E3A3F594E5F2D3C7181DC8A3344D44CA17055D987081BD1B6AB4B4BAF1F32E76fAX4M" TargetMode="External"/><Relationship Id="rId70" Type="http://schemas.openxmlformats.org/officeDocument/2006/relationships/hyperlink" Target="consultantplus://offline/ref=9715935D4AFA451360F6C2EA8669278322FB0ED394CF2D00E3A3F594E5F2D3C7181DC8A3344D44CE14055D987081BD1B6AB4B4BAF1F32E76fAX4M" TargetMode="External"/><Relationship Id="rId75" Type="http://schemas.openxmlformats.org/officeDocument/2006/relationships/hyperlink" Target="consultantplus://offline/ref=9715935D4AFA451360F6C2EA8669278322FB0ED394CF2D00E3A3F594E5F2D3C7181DC8A3344D44CD1D055D987081BD1B6AB4B4BAF1F32E76fAX4M" TargetMode="External"/><Relationship Id="rId83" Type="http://schemas.openxmlformats.org/officeDocument/2006/relationships/hyperlink" Target="consultantplus://offline/ref=9715935D4AFA451360F6C2EA8669278322FB0ED394CF2D00E3A3F594E5F2D3C7181DC8A3344D47CC11055D987081BD1B6AB4B4BAF1F32E76fAX4M" TargetMode="External"/><Relationship Id="rId88" Type="http://schemas.openxmlformats.org/officeDocument/2006/relationships/hyperlink" Target="consultantplus://offline/ref=9715935D4AFA451360F6C2EA8669278322FB0ED394CF2D00E3A3F594E5F2D3C7181DC8A3344E41C811055D987081BD1B6AB4B4BAF1F32E76fAX4M" TargetMode="External"/><Relationship Id="rId91" Type="http://schemas.openxmlformats.org/officeDocument/2006/relationships/hyperlink" Target="consultantplus://offline/ref=9715935D4AFA451360F6C2EA8669278322F508D395C22D00E3A3F594E5F2D3C7181DC8A3344E41CA17055D987081BD1B6AB4B4BAF1F32E76fAX4M" TargetMode="External"/><Relationship Id="rId96" Type="http://schemas.openxmlformats.org/officeDocument/2006/relationships/hyperlink" Target="consultantplus://offline/ref=9715935D4AFA451360F6C2EA8669278322FA0AD192CE2D00E3A3F594E5F2D3C7181DC8A3344E43CD17055D987081BD1B6AB4B4BAF1F32E76fAX4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715935D4AFA451360F6C2EA8669278322FA0AD192CE2D00E3A3F594E5F2D3C7181DC8A3344E43CD17055D987081BD1B6AB4B4BAF1F32E76fAX4M" TargetMode="External"/><Relationship Id="rId15" Type="http://schemas.openxmlformats.org/officeDocument/2006/relationships/hyperlink" Target="consultantplus://offline/ref=9715935D4AFA451360F6DCE48269278322F70ED793C02D00E3A3F594E5F2D3C7181DC8A3344E41CB12055D987081BD1B6AB4B4BAF1F32E76fAX4M" TargetMode="External"/><Relationship Id="rId23" Type="http://schemas.openxmlformats.org/officeDocument/2006/relationships/hyperlink" Target="consultantplus://offline/ref=9715935D4AFA451360F6DCE48269278322F50ED593C72D00E3A3F594E5F2D3C7181DC8A3344E41CB12055D987081BD1B6AB4B4BAF1F32E76fAX4M" TargetMode="External"/><Relationship Id="rId28" Type="http://schemas.openxmlformats.org/officeDocument/2006/relationships/hyperlink" Target="consultantplus://offline/ref=9715935D4AFA451360F6C2EA8669278322FA0AD395C12D00E3A3F594E5F2D3C7181DC8A7334A42C0405F4D9C39D5B0046BABABB9EFF3f2XFM" TargetMode="External"/><Relationship Id="rId36" Type="http://schemas.openxmlformats.org/officeDocument/2006/relationships/hyperlink" Target="consultantplus://offline/ref=9715935D4AFA451360F6C2EA8669278322FB0ED394CF2D00E3A3F594E5F2D3C7181DC8A3344D40CA1D055D987081BD1B6AB4B4BAF1F32E76fAX4M" TargetMode="External"/><Relationship Id="rId49" Type="http://schemas.openxmlformats.org/officeDocument/2006/relationships/hyperlink" Target="consultantplus://offline/ref=9715935D4AFA451360F6C2EA8669278322FB0ED394CF2D00E3A3F594E5F2D3C7181DC8A3344D42C311055D987081BD1B6AB4B4BAF1F32E76fAX4M" TargetMode="External"/><Relationship Id="rId57" Type="http://schemas.openxmlformats.org/officeDocument/2006/relationships/hyperlink" Target="consultantplus://offline/ref=9715935D4AFA451360F6C2EA8669278322FB0ED394CF2D00E3A3F594E5F2D3C7181DC8A63D4B4A9F454A5CC435D4AE1B6BB4B7BBEDfFX0M" TargetMode="External"/><Relationship Id="rId10" Type="http://schemas.openxmlformats.org/officeDocument/2006/relationships/hyperlink" Target="consultantplus://offline/ref=9715935D4AFA451360F6C2EA8669278322F604D494C72D00E3A3F594E5F2D3C70A1D90AF354E5FCA15100BC936fDX5M" TargetMode="External"/><Relationship Id="rId31" Type="http://schemas.openxmlformats.org/officeDocument/2006/relationships/hyperlink" Target="consultantplus://offline/ref=9715935D4AFA451360F6C2EA8669278322FB0ED394CF2D00E3A3F594E5F2D3C7181DC8A3344D41CA1C055D987081BD1B6AB4B4BAF1F32E76fAX4M" TargetMode="External"/><Relationship Id="rId44" Type="http://schemas.openxmlformats.org/officeDocument/2006/relationships/hyperlink" Target="consultantplus://offline/ref=9715935D4AFA451360F6C2EA8669278322FB0ED394CF2D00E3A3F594E5F2D3C7181DC8A3344D41CA15055D987081BD1B6AB4B4BAF1F32E76fAX4M" TargetMode="External"/><Relationship Id="rId52" Type="http://schemas.openxmlformats.org/officeDocument/2006/relationships/hyperlink" Target="consultantplus://offline/ref=9715935D4AFA451360F6C2EA8669278322FB0ED394CF2D00E3A3F594E5F2D3C7181DC8A3344D45CF15055D987081BD1B6AB4B4BAF1F32E76fAX4M" TargetMode="External"/><Relationship Id="rId60" Type="http://schemas.openxmlformats.org/officeDocument/2006/relationships/hyperlink" Target="consultantplus://offline/ref=9715935D4AFA451360F6C2EA8669278322FB0ED394CF2D00E3A3F594E5F2D3C7181DC8A3344D45C915055D987081BD1B6AB4B4BAF1F32E76fAX4M" TargetMode="External"/><Relationship Id="rId65" Type="http://schemas.openxmlformats.org/officeDocument/2006/relationships/hyperlink" Target="consultantplus://offline/ref=9715935D4AFA451360F6C2EA8669278322FB0ED394CF2D00E3A3F594E5F2D3C7181DC8A436484A9F454A5CC435D4AE1B6BB4B7BBEDfFX0M" TargetMode="External"/><Relationship Id="rId73" Type="http://schemas.openxmlformats.org/officeDocument/2006/relationships/hyperlink" Target="consultantplus://offline/ref=9715935D4AFA451360F6C2EA8669278322FB0ED394CF2D00E3A3F594E5F2D3C7181DC8A3344D44CE11055D987081BD1B6AB4B4BAF1F32E76fAX4M" TargetMode="External"/><Relationship Id="rId78" Type="http://schemas.openxmlformats.org/officeDocument/2006/relationships/hyperlink" Target="consultantplus://offline/ref=9715935D4AFA451360F6C2EA8669278322FB0ED394CF2D00E3A3F594E5F2D3C7181DC8A3344D47C810055D987081BD1B6AB4B4BAF1F32E76fAX4M" TargetMode="External"/><Relationship Id="rId81" Type="http://schemas.openxmlformats.org/officeDocument/2006/relationships/hyperlink" Target="consultantplus://offline/ref=9715935D4AFA451360F6C2EA8669278322FB0ED394CF2D00E3A3F594E5F2D3C7181DC8A3344D47CD16055D987081BD1B6AB4B4BAF1F32E76fAX4M" TargetMode="External"/><Relationship Id="rId86" Type="http://schemas.openxmlformats.org/officeDocument/2006/relationships/hyperlink" Target="consultantplus://offline/ref=9715935D4AFA451360F6C2EA8669278322F508D395C22D00E3A3F594E5F2D3C7181DC8A3344E41CA14055D987081BD1B6AB4B4BAF1F32E76fAX4M" TargetMode="External"/><Relationship Id="rId94" Type="http://schemas.openxmlformats.org/officeDocument/2006/relationships/hyperlink" Target="consultantplus://offline/ref=9715935D4AFA451360F6C2EA8669278322FA0AD192CE2D00E3A3F594E5F2D3C7181DC8A3344E43CD17055D987081BD1B6AB4B4BAF1F32E76fAX4M" TargetMode="External"/><Relationship Id="rId99" Type="http://schemas.openxmlformats.org/officeDocument/2006/relationships/hyperlink" Target="consultantplus://offline/ref=9715935D4AFA451360F6C2EA8669278322F70ED59CC42D00E3A3F594E5F2D3C7181DC8A3344E41CA17055D987081BD1B6AB4B4BAF1F32E76fAX4M" TargetMode="External"/><Relationship Id="rId101" Type="http://schemas.openxmlformats.org/officeDocument/2006/relationships/hyperlink" Target="consultantplus://offline/ref=9715935D4AFA451360F6C2EA8669278322FA04D096CE2D00E3A3F594E5F2D3C7181DC8A3344E45CB12055D987081BD1B6AB4B4BAF1F32E76fAX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715935D4AFA451360F6C2EA8669278322F604D494C72D00E3A3F594E5F2D3C7181DC8A3344E43CD14055D987081BD1B6AB4B4BAF1F32E76fAX4M" TargetMode="External"/><Relationship Id="rId13" Type="http://schemas.openxmlformats.org/officeDocument/2006/relationships/hyperlink" Target="consultantplus://offline/ref=9715935D4AFA451360F6C2EA8669278322F40ED691C22D00E3A3F594E5F2D3C7181DC8A33F1A108F410308C92AD5B10468AAB7fBXAM" TargetMode="External"/><Relationship Id="rId18" Type="http://schemas.openxmlformats.org/officeDocument/2006/relationships/hyperlink" Target="consultantplus://offline/ref=9715935D4AFA451360F6C2EA8669278322FA04D496C12D00E3A3F594E5F2D3C7181DC8A3344E40C31C055D987081BD1B6AB4B4BAF1F32E76fAX4M" TargetMode="External"/><Relationship Id="rId39" Type="http://schemas.openxmlformats.org/officeDocument/2006/relationships/hyperlink" Target="consultantplus://offline/ref=9715935D4AFA451360F6C2EA8669278322FB0ED394CF2D00E3A3F594E5F2D3C7181DC8A3344E41C811055D987081BD1B6AB4B4BAF1F32E76fAX4M" TargetMode="External"/><Relationship Id="rId34" Type="http://schemas.openxmlformats.org/officeDocument/2006/relationships/hyperlink" Target="consultantplus://offline/ref=9715935D4AFA451360F6C2EA8669278322FB0ED394CF2D00E3A3F594E5F2D3C7181DC8A3344D41CA12055D987081BD1B6AB4B4BAF1F32E76fAX4M" TargetMode="External"/><Relationship Id="rId50" Type="http://schemas.openxmlformats.org/officeDocument/2006/relationships/hyperlink" Target="consultantplus://offline/ref=9715935D4AFA451360F6C2EA8669278322FB0ED394CF2D00E3A3F594E5F2D3C7181DC8A3344D42C310055D987081BD1B6AB4B4BAF1F32E76fAX4M" TargetMode="External"/><Relationship Id="rId55" Type="http://schemas.openxmlformats.org/officeDocument/2006/relationships/hyperlink" Target="consultantplus://offline/ref=9715935D4AFA451360F6C2EA8669278322FB0ED394CF2D00E3A3F594E5F2D3C7181DC8A3344D45CC17055D987081BD1B6AB4B4BAF1F32E76fAX4M" TargetMode="External"/><Relationship Id="rId76" Type="http://schemas.openxmlformats.org/officeDocument/2006/relationships/hyperlink" Target="consultantplus://offline/ref=9715935D4AFA451360F6C2EA8669278322FB0ED394CF2D00E3A3F594E5F2D3C7181DC8A3344D44CC17055D987081BD1B6AB4B4BAF1F32E76fAX4M" TargetMode="External"/><Relationship Id="rId97" Type="http://schemas.openxmlformats.org/officeDocument/2006/relationships/hyperlink" Target="consultantplus://offline/ref=9715935D4AFA451360F6C2EA8669278320F709D291C12D00E3A3F594E5F2D3C7181DC8A3344E41CB11055D987081BD1B6AB4B4BAF1F32E76fAX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12252</Words>
  <Characters>69843</Characters>
  <Application>Microsoft Office Word</Application>
  <DocSecurity>2</DocSecurity>
  <Lines>582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15.09.2020 N 1434(ред. от 30.06.2021)"Об утверждении Правил проведения технического осмотра транспортных средств, а также о внесении изменений в некоторые акты Правительства Российской Федерации"</vt:lpstr>
    </vt:vector>
  </TitlesOfParts>
  <Company>КонсультантПлюс Версия 4021.00.31</Company>
  <LinksUpToDate>false</LinksUpToDate>
  <CharactersWithSpaces>81932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15.09.2020 N 1434(ред. от 30.06.2021)"Об утверждении Правил проведения технического осмотра транспортных средств, а также о внесении изменений в некоторые акты Правительства Российской Федерации"</dc:title>
  <dc:creator>off1</dc:creator>
  <cp:lastModifiedBy>Андрей Петров</cp:lastModifiedBy>
  <cp:revision>2</cp:revision>
  <dcterms:created xsi:type="dcterms:W3CDTF">2021-11-16T07:16:00Z</dcterms:created>
  <dcterms:modified xsi:type="dcterms:W3CDTF">2021-11-16T07:16:00Z</dcterms:modified>
</cp:coreProperties>
</file>